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56" w:afterLines="50" w:line="760" w:lineRule="exact"/>
        <w:ind w:firstLine="0" w:firstLineChars="0"/>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lang w:eastAsia="zh-CN"/>
        </w:rPr>
        <w:t>《</w:t>
      </w:r>
      <w:r>
        <w:rPr>
          <w:rFonts w:hint="eastAsia" w:ascii="方正小标宋简体" w:hAnsi="方正小标宋简体" w:eastAsia="方正小标宋简体" w:cs="方正小标宋简体"/>
          <w:b w:val="0"/>
          <w:bCs/>
          <w:sz w:val="44"/>
          <w:szCs w:val="44"/>
        </w:rPr>
        <w:t>长春新区加快培育数实融合新赛道</w:t>
      </w:r>
    </w:p>
    <w:p>
      <w:pPr>
        <w:spacing w:after="156" w:afterLines="50" w:line="760" w:lineRule="exact"/>
        <w:ind w:firstLine="0" w:firstLineChars="0"/>
        <w:jc w:val="center"/>
        <w:rPr>
          <w:rFonts w:hint="eastAsia" w:ascii="方正小标宋简体" w:hAnsi="方正小标宋简体" w:eastAsia="方正小标宋简体" w:cs="方正小标宋简体"/>
          <w:b w:val="0"/>
          <w:bCs/>
          <w:sz w:val="44"/>
          <w:szCs w:val="44"/>
          <w:lang w:eastAsia="zh-CN"/>
        </w:rPr>
      </w:pPr>
      <w:r>
        <w:rPr>
          <w:rFonts w:hint="eastAsia" w:ascii="方正小标宋简体" w:hAnsi="方正小标宋简体" w:eastAsia="方正小标宋简体" w:cs="方正小标宋简体"/>
          <w:b w:val="0"/>
          <w:bCs/>
          <w:sz w:val="44"/>
          <w:szCs w:val="44"/>
        </w:rPr>
        <w:t>若干政策</w:t>
      </w:r>
      <w:r>
        <w:rPr>
          <w:rFonts w:hint="eastAsia" w:ascii="方正小标宋简体" w:hAnsi="方正小标宋简体" w:eastAsia="方正小标宋简体" w:cs="方正小标宋简体"/>
          <w:b w:val="0"/>
          <w:bCs/>
          <w:sz w:val="44"/>
          <w:szCs w:val="44"/>
          <w:lang w:eastAsia="zh-CN"/>
        </w:rPr>
        <w:t>》政策解读</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方正楷体_GBK" w:hAnsi="方正楷体_GBK" w:eastAsia="方正楷体_GBK" w:cs="方正楷体_GBK"/>
          <w:b/>
          <w:bCs/>
          <w:sz w:val="32"/>
          <w:szCs w:val="32"/>
        </w:rPr>
      </w:pPr>
      <w:r>
        <w:rPr>
          <w:rFonts w:hint="eastAsia" w:ascii="方正楷体_GBK" w:hAnsi="方正楷体_GBK" w:eastAsia="方正楷体_GBK" w:cs="方正楷体_GBK"/>
          <w:b/>
          <w:bCs/>
          <w:sz w:val="32"/>
          <w:szCs w:val="32"/>
        </w:rPr>
        <w:t>一、制定的必要性、可行性</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党和国家高度重视数字经济与实体经济深度融合（以下简称“数实融合”）。党的二十大报告强调，“开辟发展新领域新赛道，不断塑造发展新动能新优势”。当前，长春新区正着力打造“311”产业体系，紧抓数实融合时代机遇，加快推动新旧动能转换，积极培育布局一批具有爆发式增长潜力的未来产业新赛道。根据吉林省、长春市战略部署和上位政策导向，初拟了《关于长春新区加快培育数实融合新赛道的若干政策报告》</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方正楷体_GBK" w:hAnsi="方正楷体_GBK" w:eastAsia="方正楷体_GBK" w:cs="方正楷体_GBK"/>
          <w:b/>
          <w:bCs/>
          <w:sz w:val="32"/>
          <w:szCs w:val="32"/>
          <w:lang w:eastAsia="zh-CN"/>
        </w:rPr>
      </w:pPr>
      <w:r>
        <w:rPr>
          <w:rFonts w:hint="eastAsia" w:ascii="方正楷体_GBK" w:hAnsi="方正楷体_GBK" w:eastAsia="方正楷体_GBK" w:cs="方正楷体_GBK"/>
          <w:b/>
          <w:bCs/>
          <w:sz w:val="32"/>
          <w:szCs w:val="32"/>
          <w:lang w:eastAsia="zh-CN"/>
        </w:rPr>
        <w:t>二、制定的依据</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lang w:eastAsia="zh-CN"/>
        </w:rPr>
        <w:t>1、</w:t>
      </w:r>
      <w:r>
        <w:rPr>
          <w:rFonts w:hint="eastAsia" w:ascii="Times New Roman" w:hAnsi="Times New Roman" w:eastAsia="方正仿宋_GBK" w:cs="Times New Roman"/>
          <w:sz w:val="32"/>
          <w:szCs w:val="32"/>
          <w:lang w:eastAsia="zh-CN"/>
        </w:rPr>
        <w:t>吉林省《吉林省市场监督管理厅支持民营经济高质量发展30条举措》（吉市监个字〔2018〕42号）</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rPr>
        <w:t>2、</w:t>
      </w:r>
      <w:r>
        <w:rPr>
          <w:rFonts w:hint="eastAsia" w:ascii="Times New Roman" w:hAnsi="Times New Roman" w:eastAsia="方正仿宋_GBK" w:cs="Times New Roman"/>
          <w:sz w:val="32"/>
          <w:szCs w:val="32"/>
          <w:lang w:eastAsia="zh-CN"/>
        </w:rPr>
        <w:t>东湖高新区《关于推动数字经济高质量发展的若干措施实施细则》</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3、</w:t>
      </w:r>
      <w:r>
        <w:rPr>
          <w:rFonts w:hint="eastAsia" w:ascii="Times New Roman" w:hAnsi="Times New Roman" w:eastAsia="方正仿宋_GBK" w:cs="Times New Roman"/>
          <w:sz w:val="32"/>
          <w:szCs w:val="32"/>
          <w:lang w:eastAsia="zh-CN"/>
        </w:rPr>
        <w:t>东湖高新区《关于促进新型显示产业发展的若干政策》</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4</w:t>
      </w:r>
      <w:r>
        <w:rPr>
          <w:rFonts w:hint="eastAsia" w:ascii="Times New Roman" w:hAnsi="Times New Roman" w:eastAsia="方正仿宋_GBK" w:cs="Times New Roman"/>
          <w:sz w:val="32"/>
          <w:szCs w:val="32"/>
        </w:rPr>
        <w:t>、</w:t>
      </w:r>
      <w:r>
        <w:rPr>
          <w:rFonts w:hint="eastAsia" w:ascii="Times New Roman" w:hAnsi="Times New Roman" w:eastAsia="方正仿宋_GBK" w:cs="Times New Roman"/>
          <w:sz w:val="32"/>
          <w:szCs w:val="32"/>
          <w:lang w:val="en-US" w:eastAsia="zh-CN"/>
        </w:rPr>
        <w:t>贵阳高新区《关于促进新一代人工智能产业发展的十条政策措施(试行)》</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lang w:val="en-US" w:eastAsia="zh-CN"/>
        </w:rPr>
        <w:t>5</w:t>
      </w:r>
      <w:r>
        <w:rPr>
          <w:rFonts w:hint="eastAsia" w:ascii="Times New Roman" w:hAnsi="Times New Roman" w:eastAsia="方正仿宋_GBK" w:cs="Times New Roman"/>
          <w:sz w:val="32"/>
          <w:szCs w:val="32"/>
        </w:rPr>
        <w:t>、</w:t>
      </w:r>
      <w:r>
        <w:rPr>
          <w:rFonts w:hint="eastAsia" w:ascii="Times New Roman" w:hAnsi="Times New Roman" w:eastAsia="方正仿宋_GBK" w:cs="Times New Roman"/>
          <w:sz w:val="32"/>
          <w:szCs w:val="32"/>
          <w:lang w:eastAsia="zh-CN"/>
        </w:rPr>
        <w:t>合肥市《关于加快建设国家新一代人工智能创新发展试验区促进产业高质量发展若干政策》</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mc:AlternateContent>
          <mc:Choice Requires="wps">
            <w:drawing>
              <wp:anchor distT="0" distB="0" distL="114300" distR="114300" simplePos="0" relativeHeight="251659264" behindDoc="0" locked="0" layoutInCell="0" allowOverlap="1">
                <wp:simplePos x="0" y="0"/>
                <wp:positionH relativeFrom="page">
                  <wp:posOffset>720090</wp:posOffset>
                </wp:positionH>
                <wp:positionV relativeFrom="margin">
                  <wp:posOffset>-360045</wp:posOffset>
                </wp:positionV>
                <wp:extent cx="6120130" cy="855345"/>
                <wp:effectExtent l="0" t="0" r="0" b="0"/>
                <wp:wrapTopAndBottom/>
                <wp:docPr id="5" name="Text Box 33"/>
                <wp:cNvGraphicFramePr/>
                <a:graphic xmlns:a="http://schemas.openxmlformats.org/drawingml/2006/main">
                  <a:graphicData uri="http://schemas.microsoft.com/office/word/2010/wordprocessingShape">
                    <wps:wsp>
                      <wps:cNvSpPr txBox="1"/>
                      <wps:spPr>
                        <a:xfrm>
                          <a:off x="0" y="0"/>
                          <a:ext cx="6120130" cy="855345"/>
                        </a:xfrm>
                        <a:prstGeom prst="rect">
                          <a:avLst/>
                        </a:prstGeom>
                        <a:noFill/>
                        <a:ln>
                          <a:noFill/>
                        </a:ln>
                        <a:effectLst/>
                      </wps:spPr>
                      <wps:txbx>
                        <w:txbxContent>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txbxContent>
                      </wps:txbx>
                      <wps:bodyPr vert="horz" wrap="square" lIns="0" tIns="0" rIns="0" bIns="0" anchor="t" anchorCtr="0" upright="1"/>
                    </wps:wsp>
                  </a:graphicData>
                </a:graphic>
              </wp:anchor>
            </w:drawing>
          </mc:Choice>
          <mc:Fallback>
            <w:pict>
              <v:shape id="Text Box 33" o:spid="_x0000_s1026" o:spt="202" type="#_x0000_t202" style="position:absolute;left:0pt;margin-left:56.7pt;margin-top:-28.35pt;height:67.35pt;width:481.9pt;mso-position-horizontal-relative:page;mso-position-vertical-relative:margin;mso-wrap-distance-bottom:0pt;mso-wrap-distance-top:0pt;z-index:251659264;mso-width-relative:page;mso-height-relative:page;" filled="f" stroked="f" coordsize="21600,21600" o:allowincell="f" o:gfxdata="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">
                <v:fill on="f" focussize="0,0"/>
                <v:stroke on="f"/>
                <v:imagedata o:title=""/>
                <o:lock v:ext="edit" aspectratio="f"/>
                <v:textbox inset="0mm,0mm,0mm,0mm">
                  <w:txbxContent>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pPr>
                        <w:rPr>
                          <w:color w:val="FF0000"/>
                        </w:rPr>
                      </w:pPr>
                    </w:p>
                    <w:p/>
                  </w:txbxContent>
                </v:textbox>
                <w10:wrap type="topAndBottom"/>
              </v:shape>
            </w:pict>
          </mc:Fallback>
        </mc:AlternateConten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6</w:t>
      </w:r>
      <w:r>
        <w:rPr>
          <w:rFonts w:hint="eastAsia" w:ascii="Times New Roman" w:hAnsi="Times New Roman" w:eastAsia="方正仿宋_GBK" w:cs="Times New Roman"/>
          <w:sz w:val="32"/>
          <w:szCs w:val="32"/>
        </w:rPr>
        <w:t>、</w:t>
      </w:r>
      <w:r>
        <w:rPr>
          <w:rFonts w:hint="eastAsia" w:ascii="Times New Roman" w:hAnsi="Times New Roman" w:eastAsia="方正仿宋_GBK" w:cs="Times New Roman"/>
          <w:sz w:val="32"/>
          <w:szCs w:val="32"/>
          <w:lang w:eastAsia="zh-CN"/>
        </w:rPr>
        <w:t>沈阳市《关于促进数字经济产业发展若干政策》</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7</w:t>
      </w:r>
      <w:r>
        <w:rPr>
          <w:rFonts w:hint="eastAsia" w:ascii="Times New Roman" w:hAnsi="Times New Roman" w:eastAsia="方正仿宋_GBK" w:cs="Times New Roman"/>
          <w:sz w:val="32"/>
          <w:szCs w:val="32"/>
        </w:rPr>
        <w:t>、</w:t>
      </w:r>
      <w:r>
        <w:rPr>
          <w:rFonts w:hint="eastAsia" w:ascii="Times New Roman" w:hAnsi="Times New Roman" w:eastAsia="方正仿宋_GBK" w:cs="Times New Roman"/>
          <w:sz w:val="32"/>
          <w:szCs w:val="32"/>
          <w:lang w:eastAsia="zh-CN"/>
        </w:rPr>
        <w:t>苏州工业园区《科技公共服务平台实施细则》</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lang w:val="en-US" w:eastAsia="zh-CN"/>
        </w:rPr>
        <w:t>8</w:t>
      </w:r>
      <w:r>
        <w:rPr>
          <w:rFonts w:hint="eastAsia" w:ascii="Times New Roman" w:hAnsi="Times New Roman" w:eastAsia="方正仿宋_GBK" w:cs="Times New Roman"/>
          <w:sz w:val="32"/>
          <w:szCs w:val="32"/>
        </w:rPr>
        <w:t>、</w:t>
      </w:r>
      <w:r>
        <w:rPr>
          <w:rFonts w:hint="eastAsia" w:ascii="Times New Roman" w:hAnsi="Times New Roman" w:eastAsia="方正仿宋_GBK" w:cs="Times New Roman"/>
          <w:sz w:val="32"/>
          <w:szCs w:val="32"/>
          <w:lang w:eastAsia="zh-CN"/>
        </w:rPr>
        <w:t>深圳光明区《关于支持新材料产业集群高质量发展的若干措施》</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lang w:val="en-US" w:eastAsia="zh-CN"/>
        </w:rPr>
        <w:t>9</w:t>
      </w:r>
      <w:r>
        <w:rPr>
          <w:rFonts w:hint="eastAsia" w:ascii="Times New Roman" w:hAnsi="Times New Roman" w:eastAsia="方正仿宋_GBK" w:cs="Times New Roman"/>
          <w:sz w:val="32"/>
          <w:szCs w:val="32"/>
        </w:rPr>
        <w:t>、</w:t>
      </w:r>
      <w:r>
        <w:rPr>
          <w:rFonts w:hint="eastAsia" w:ascii="Times New Roman" w:hAnsi="Times New Roman" w:eastAsia="方正仿宋_GBK" w:cs="Times New Roman"/>
          <w:sz w:val="32"/>
          <w:szCs w:val="32"/>
          <w:lang w:eastAsia="zh-CN"/>
        </w:rPr>
        <w:t>苏州市《关于加快推进苏州生物医药产业高质量发展的若干措施》</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10</w:t>
      </w:r>
      <w:r>
        <w:rPr>
          <w:rFonts w:hint="eastAsia" w:ascii="Times New Roman" w:hAnsi="Times New Roman" w:eastAsia="方正仿宋_GBK" w:cs="Times New Roman"/>
          <w:sz w:val="32"/>
          <w:szCs w:val="32"/>
        </w:rPr>
        <w:t>、</w:t>
      </w:r>
      <w:r>
        <w:rPr>
          <w:rFonts w:hint="eastAsia" w:ascii="Times New Roman" w:hAnsi="Times New Roman" w:eastAsia="方正仿宋_GBK" w:cs="Times New Roman"/>
          <w:sz w:val="32"/>
          <w:szCs w:val="32"/>
          <w:lang w:eastAsia="zh-CN"/>
        </w:rPr>
        <w:t>成</w:t>
      </w:r>
      <w:r>
        <w:rPr>
          <w:rFonts w:hint="eastAsia" w:ascii="Times New Roman" w:hAnsi="Times New Roman" w:eastAsia="方正仿宋_GBK" w:cs="Times New Roman"/>
          <w:sz w:val="32"/>
          <w:szCs w:val="32"/>
        </w:rPr>
        <w:t>都高新区《关于支持企业数字化智能化技术改造的若干政策》</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lang w:val="en-US" w:eastAsia="zh-CN"/>
        </w:rPr>
        <w:t>11、</w:t>
      </w:r>
      <w:r>
        <w:rPr>
          <w:rFonts w:hint="eastAsia" w:ascii="Times New Roman" w:hAnsi="Times New Roman" w:eastAsia="方正仿宋_GBK" w:cs="Times New Roman"/>
          <w:sz w:val="32"/>
          <w:szCs w:val="32"/>
          <w:lang w:eastAsia="zh-CN"/>
        </w:rPr>
        <w:t>北京市东城区《关于促进中小企业创新发展的若干措施》</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lang w:val="en-US" w:eastAsia="zh-CN"/>
        </w:rPr>
        <w:t>12、</w:t>
      </w:r>
      <w:r>
        <w:rPr>
          <w:rFonts w:hint="eastAsia" w:ascii="Times New Roman" w:hAnsi="Times New Roman" w:eastAsia="方正仿宋_GBK" w:cs="Times New Roman"/>
          <w:sz w:val="32"/>
          <w:szCs w:val="32"/>
          <w:lang w:eastAsia="zh-CN"/>
        </w:rPr>
        <w:t>上海虹桥商务区《2020年度虹桥商务区现代服务业专项发展资金申报指南》</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13、</w:t>
      </w:r>
      <w:r>
        <w:rPr>
          <w:rFonts w:hint="eastAsia" w:ascii="Times New Roman" w:hAnsi="Times New Roman" w:eastAsia="方正仿宋_GBK" w:cs="Times New Roman"/>
          <w:sz w:val="32"/>
          <w:szCs w:val="32"/>
        </w:rPr>
        <w:t>湘江新区《关于推进前沿科技创新高地建设的若干政策》</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14、</w:t>
      </w:r>
      <w:r>
        <w:rPr>
          <w:rFonts w:hint="eastAsia" w:ascii="Times New Roman" w:hAnsi="Times New Roman" w:eastAsia="方正仿宋_GBK" w:cs="Times New Roman"/>
          <w:sz w:val="32"/>
          <w:szCs w:val="32"/>
        </w:rPr>
        <w:t>合肥高新区《建设世界领先科技园区进一步支持科技创新若干政策举措》</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15、江北新区《关于促进生物医药产业发展的若干措施》</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16、深圳宝安区《关于促进工业母机、激光与增材制造产业高质量发展的若干措施》</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lang w:val="en-US" w:eastAsia="zh-CN"/>
        </w:rPr>
        <w:t>17、</w:t>
      </w:r>
      <w:r>
        <w:rPr>
          <w:rFonts w:hint="eastAsia" w:ascii="Times New Roman" w:hAnsi="Times New Roman" w:eastAsia="方正仿宋_GBK" w:cs="Times New Roman"/>
          <w:sz w:val="32"/>
          <w:szCs w:val="32"/>
          <w:lang w:eastAsia="zh-CN"/>
        </w:rPr>
        <w:t>广州黄埔区《关于促进经济高质量发展政策措施》</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18、合肥市《关于2021年推动经济高质量发展若干政策实施细则》</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19、重庆高新区《西部科学城重庆高新区促进软件产业高质量发展的九条措施》</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20、北京中关村《关于提升国际化发展水平支持资金管理办法（试行）》</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21、合肥市《关于“提信心拼经济”若干政策措施》</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22、</w:t>
      </w:r>
      <w:r>
        <w:rPr>
          <w:rFonts w:hint="eastAsia" w:ascii="Times New Roman" w:hAnsi="Times New Roman" w:eastAsia="方正仿宋_GBK" w:cs="Times New Roman"/>
          <w:sz w:val="32"/>
          <w:szCs w:val="32"/>
          <w:lang w:eastAsia="zh-CN"/>
        </w:rPr>
        <w:t>南京江北新区《关于促进生物医药产业发展的若干措施》</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lang w:val="en-US" w:eastAsia="zh-CN"/>
        </w:rPr>
        <w:t>22、</w:t>
      </w:r>
      <w:r>
        <w:rPr>
          <w:rFonts w:hint="eastAsia" w:ascii="Times New Roman" w:hAnsi="Times New Roman" w:eastAsia="方正仿宋_GBK" w:cs="Times New Roman"/>
          <w:sz w:val="32"/>
          <w:szCs w:val="32"/>
          <w:lang w:eastAsia="zh-CN"/>
        </w:rPr>
        <w:t>合肥高新区《关于打造科创金融改革创新示范区若干政策措施》</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黑体" w:hAnsi="黑体" w:eastAsia="黑体" w:cs="MT Extra"/>
          <w:sz w:val="32"/>
          <w:szCs w:val="32"/>
          <w:lang w:val="en-US" w:eastAsia="zh-CN"/>
        </w:rPr>
      </w:pPr>
      <w:r>
        <w:rPr>
          <w:rFonts w:hint="eastAsia" w:ascii="Times New Roman" w:hAnsi="Times New Roman" w:eastAsia="方正仿宋_GBK" w:cs="Times New Roman"/>
          <w:sz w:val="32"/>
          <w:szCs w:val="32"/>
          <w:lang w:val="en-US" w:eastAsia="zh-CN"/>
        </w:rPr>
        <w:t>23、</w:t>
      </w:r>
      <w:r>
        <w:rPr>
          <w:rFonts w:hint="eastAsia" w:ascii="Times New Roman" w:hAnsi="Times New Roman" w:eastAsia="方正仿宋_GBK" w:cs="Times New Roman"/>
          <w:sz w:val="32"/>
          <w:szCs w:val="32"/>
          <w:lang w:eastAsia="zh-CN"/>
        </w:rPr>
        <w:t>西咸新区：《关于打造秦创原人才聚集高地进一步支持人才创新创业的若干措施》</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_GBK" w:cs="Times New Roman"/>
          <w:kern w:val="2"/>
          <w:sz w:val="32"/>
          <w:szCs w:val="32"/>
          <w:lang w:val="en-US" w:eastAsia="zh-CN" w:bidi="ar-SA"/>
        </w:rPr>
      </w:pPr>
      <w:r>
        <w:rPr>
          <w:rFonts w:hint="eastAsia" w:ascii="方正楷体_GBK" w:hAnsi="方正楷体_GBK" w:eastAsia="方正楷体_GBK" w:cs="方正楷体_GBK"/>
          <w:b/>
          <w:bCs/>
          <w:sz w:val="32"/>
          <w:szCs w:val="32"/>
          <w:lang w:val="en-US" w:eastAsia="zh-CN"/>
        </w:rPr>
        <w:t>三、设定的主要制度及情况说明</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eastAsia="方正仿宋_GBK" w:cs="Times New Roman"/>
          <w:sz w:val="32"/>
          <w:szCs w:val="32"/>
          <w:lang w:val="en-US" w:eastAsia="zh-CN"/>
        </w:rPr>
      </w:pPr>
      <w:r>
        <w:rPr>
          <w:rFonts w:hint="eastAsia" w:ascii="Times New Roman" w:hAnsi="Times New Roman" w:eastAsia="方正仿宋_GBK" w:cs="Times New Roman"/>
          <w:kern w:val="2"/>
          <w:sz w:val="32"/>
          <w:szCs w:val="32"/>
          <w:lang w:val="en-US" w:eastAsia="zh-CN" w:bidi="ar-SA"/>
        </w:rPr>
        <w:t>长春新区数实融合新赛道政策以“培育壮大数实融合新赛道，塑造发展新动能新优势”为核心目标，以“资金奖补、提供担保、授权许可、建设场景、开放数据、营造服务环境等”为政策手段，以“制度层、要素层、场景层、企业层、平台层”为五大着力点，构建集“生态营造-赛手扎堆-赛道生成”于一体的良好资源要素优化配置机制和路径，促进优质资源、新型要素向优质企业、重点平台优先配置，推动数实融合新赛道加速生成和爆发。</w:t>
      </w:r>
      <w:r>
        <w:rPr>
          <w:rFonts w:hint="eastAsia" w:ascii="Times New Roman" w:hAnsi="Times New Roman" w:eastAsia="方正仿宋_GBK" w:cs="Times New Roman"/>
          <w:b/>
          <w:sz w:val="32"/>
          <w:szCs w:val="32"/>
        </w:rPr>
        <w:t>主要内容概括为</w:t>
      </w:r>
      <w:r>
        <w:rPr>
          <w:rFonts w:hint="eastAsia" w:ascii="Times New Roman" w:hAnsi="Times New Roman" w:eastAsia="方正仿宋_GBK" w:cs="Times New Roman"/>
          <w:sz w:val="32"/>
          <w:szCs w:val="32"/>
        </w:rPr>
        <w:t>：</w:t>
      </w:r>
      <w:r>
        <w:rPr>
          <w:rFonts w:hint="eastAsia" w:ascii="Times New Roman" w:hAnsi="Times New Roman" w:eastAsia="方正仿宋_GBK" w:cs="Times New Roman"/>
          <w:b/>
          <w:sz w:val="32"/>
          <w:szCs w:val="32"/>
          <w:lang w:eastAsia="zh-CN"/>
        </w:rPr>
        <w:t>一是</w:t>
      </w:r>
      <w:r>
        <w:rPr>
          <w:rFonts w:hint="eastAsia" w:eastAsia="方正仿宋_GBK" w:cs="Times New Roman"/>
          <w:sz w:val="32"/>
          <w:szCs w:val="32"/>
          <w:lang w:eastAsia="zh-CN"/>
        </w:rPr>
        <w:t>打造重大产业平台和载体</w:t>
      </w:r>
      <w:r>
        <w:rPr>
          <w:rFonts w:hint="eastAsia" w:eastAsia="方正仿宋_GBK" w:cs="Times New Roman"/>
          <w:sz w:val="32"/>
          <w:szCs w:val="32"/>
          <w:lang w:val="en-US" w:eastAsia="zh-CN"/>
        </w:rPr>
        <w:t>:</w:t>
      </w:r>
      <w:r>
        <w:rPr>
          <w:rFonts w:hint="eastAsia" w:eastAsia="方正仿宋_GBK" w:cs="Times New Roman"/>
          <w:sz w:val="32"/>
          <w:szCs w:val="32"/>
          <w:lang w:eastAsia="zh-CN"/>
        </w:rPr>
        <w:t>支持特色园区、公共服务平台建设，加快发展互联网工业；</w:t>
      </w:r>
      <w:r>
        <w:rPr>
          <w:rFonts w:hint="eastAsia" w:ascii="Times New Roman" w:hAnsi="Times New Roman" w:eastAsia="方正仿宋_GBK" w:cs="Times New Roman"/>
          <w:b/>
          <w:sz w:val="32"/>
          <w:szCs w:val="32"/>
          <w:lang w:eastAsia="zh-CN"/>
        </w:rPr>
        <w:t>二是</w:t>
      </w:r>
      <w:r>
        <w:rPr>
          <w:rFonts w:hint="eastAsia" w:eastAsia="方正仿宋_GBK" w:cs="Times New Roman"/>
          <w:sz w:val="32"/>
          <w:szCs w:val="32"/>
          <w:lang w:eastAsia="zh-CN"/>
        </w:rPr>
        <w:t>培育形成新物种企业集群</w:t>
      </w:r>
      <w:r>
        <w:rPr>
          <w:rFonts w:hint="eastAsia" w:eastAsia="方正仿宋_GBK" w:cs="Times New Roman"/>
          <w:sz w:val="32"/>
          <w:szCs w:val="32"/>
          <w:lang w:val="en-US" w:eastAsia="zh-CN"/>
        </w:rPr>
        <w:t>:推动数实融合新赛道企业落地，鼓励开展数实融合关键核心技术攻关，推动数实融合产品进入下游应用；</w:t>
      </w:r>
      <w:r>
        <w:rPr>
          <w:rFonts w:hint="eastAsia" w:ascii="Times New Roman" w:hAnsi="Times New Roman" w:eastAsia="方正仿宋_GBK" w:cs="Times New Roman"/>
          <w:b/>
          <w:sz w:val="32"/>
          <w:szCs w:val="32"/>
          <w:lang w:val="en-US" w:eastAsia="zh-CN"/>
        </w:rPr>
        <w:t>三是</w:t>
      </w:r>
      <w:r>
        <w:rPr>
          <w:rFonts w:hint="eastAsia" w:eastAsia="方正仿宋_GBK" w:cs="Times New Roman"/>
          <w:sz w:val="32"/>
          <w:szCs w:val="32"/>
          <w:lang w:val="en-US" w:eastAsia="zh-CN"/>
        </w:rPr>
        <w:t>加强数实融合场景建设:鼓励高校院所和龙头企业开放创新资源,支持大企业面向中小微企业开放场景,支持新技术新产品落地应用;</w:t>
      </w:r>
      <w:r>
        <w:rPr>
          <w:rFonts w:hint="eastAsia" w:ascii="Times New Roman" w:hAnsi="Times New Roman" w:eastAsia="方正仿宋_GBK" w:cs="Times New Roman"/>
          <w:b/>
          <w:sz w:val="32"/>
          <w:szCs w:val="32"/>
          <w:lang w:val="en-US" w:eastAsia="zh-CN"/>
        </w:rPr>
        <w:t>四是</w:t>
      </w:r>
      <w:r>
        <w:rPr>
          <w:rFonts w:hint="eastAsia" w:eastAsia="方正仿宋_GBK" w:cs="Times New Roman"/>
          <w:sz w:val="32"/>
          <w:szCs w:val="32"/>
          <w:lang w:val="en-US" w:eastAsia="zh-CN"/>
        </w:rPr>
        <w:t>丰富数实融合要素供给：充分发挥现有基金引导作用，探索开展“先投后股”试点，强化数字经济人才集聚培养。</w:t>
      </w:r>
      <w:r>
        <w:rPr>
          <w:rFonts w:hint="eastAsia" w:ascii="黑体" w:hAnsi="黑体" w:eastAsia="黑体" w:cs="Times New Roman"/>
          <w:bCs/>
          <w:kern w:val="2"/>
          <w:sz w:val="32"/>
          <w:szCs w:val="32"/>
          <w:lang w:val="en-US" w:eastAsia="zh-CN" w:bidi="ar-SA"/>
        </w:rPr>
        <w:t>五是</w:t>
      </w:r>
      <w:r>
        <w:rPr>
          <w:rFonts w:hint="eastAsia" w:eastAsia="方正仿宋_GBK" w:cs="Times New Roman"/>
          <w:sz w:val="32"/>
          <w:szCs w:val="32"/>
          <w:lang w:val="en-US" w:eastAsia="zh-CN"/>
        </w:rPr>
        <w:t>提升数字化新治理能力：推动公共数据资源开放共享，持续推进数实融合品牌建设，积极建立包容审慎制度保障。</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方正楷体_GBK" w:hAnsi="方正楷体_GBK" w:eastAsia="方正楷体_GBK" w:cs="方正楷体_GBK"/>
          <w:b/>
          <w:bCs/>
          <w:sz w:val="32"/>
          <w:szCs w:val="32"/>
          <w:lang w:val="en-US" w:eastAsia="zh-CN"/>
        </w:rPr>
      </w:pPr>
      <w:r>
        <w:rPr>
          <w:rFonts w:hint="eastAsia" w:ascii="方正楷体_GBK" w:hAnsi="方正楷体_GBK" w:eastAsia="方正楷体_GBK" w:cs="方正楷体_GBK"/>
          <w:b/>
          <w:bCs/>
          <w:sz w:val="32"/>
          <w:szCs w:val="32"/>
          <w:lang w:val="en-US" w:eastAsia="zh-CN"/>
        </w:rPr>
        <w:t>四、主要特点</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eastAsia="方正仿宋_GBK" w:cs="Times New Roman"/>
          <w:sz w:val="32"/>
          <w:szCs w:val="32"/>
          <w:lang w:val="en-US" w:eastAsia="zh-CN"/>
        </w:rPr>
      </w:pPr>
      <w:r>
        <w:rPr>
          <w:rFonts w:hint="eastAsia" w:eastAsia="方正仿宋_GBK" w:cs="Times New Roman"/>
          <w:sz w:val="32"/>
          <w:szCs w:val="32"/>
          <w:lang w:val="en-US" w:eastAsia="zh-CN"/>
        </w:rPr>
        <w:t>一是形成集群效应。如打造重大产业平台和载体，加快长春药谷、长春光谷、数字经济产业园、新材料产业基地等特色园区建设，建设公共技术服务平台，将从事人工智能、物联网等数字产业化领域的人才纳入高层次人才认定范围，对企业引进该类型人才进行奖励。</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eastAsia="方正仿宋_GBK" w:cs="Times New Roman"/>
          <w:sz w:val="32"/>
          <w:szCs w:val="32"/>
          <w:lang w:val="en-US" w:eastAsia="zh-CN"/>
        </w:rPr>
      </w:pPr>
      <w:r>
        <w:rPr>
          <w:rFonts w:hint="eastAsia" w:eastAsia="方正仿宋_GBK" w:cs="Times New Roman"/>
          <w:sz w:val="32"/>
          <w:szCs w:val="32"/>
          <w:lang w:val="en-US" w:eastAsia="zh-CN"/>
        </w:rPr>
        <w:t>二是支持力度大。如鼓励开展数实融合关键核心技术攻关，对牵头联合区内企业开展定向技术工管的下游应用企业，按实际支付委托开发费的30%给予补贴，单个项目最高补贴500万元，单个企业年度最高补贴1500万元。对获得国家、省、市重大科技专项的企业或项目，按照“就高不就低”原则，给予50%的区级配套，单一项目配套资助金额不超过1000万元。</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eastAsia="方正仿宋_GBK" w:cs="Times New Roman"/>
          <w:sz w:val="32"/>
          <w:szCs w:val="32"/>
          <w:lang w:val="en-US" w:eastAsia="zh-CN"/>
        </w:rPr>
      </w:pPr>
      <w:r>
        <w:rPr>
          <w:rFonts w:hint="eastAsia" w:eastAsia="方正仿宋_GBK" w:cs="Times New Roman"/>
          <w:sz w:val="32"/>
          <w:szCs w:val="32"/>
          <w:lang w:val="en-US" w:eastAsia="zh-CN"/>
        </w:rPr>
        <w:t>三是注重实用性。如推动数实融合产品进入下游应用。鼓励高校院所和龙头企业开放创新资源，支持大企业面向中小微企业开放场景，支持新技术新产品落地应用。</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eastAsia="方正仿宋_GBK" w:cs="Times New Roman"/>
          <w:sz w:val="32"/>
          <w:szCs w:val="32"/>
          <w:lang w:val="en-US" w:eastAsia="zh-CN"/>
        </w:rPr>
      </w:pPr>
      <w:r>
        <w:rPr>
          <w:rFonts w:hint="eastAsia" w:eastAsia="方正仿宋_GBK" w:cs="Times New Roman"/>
          <w:sz w:val="32"/>
          <w:szCs w:val="32"/>
          <w:lang w:val="en-US" w:eastAsia="zh-CN"/>
        </w:rPr>
        <w:t>四是注重保障。如推动公共数据资源开放共享，持续推进数实融合品牌建设，建立包容审慎制度保障，在“成长包容期”内采用首违不罚、信用承诺、提示约谈、行政告诫等柔性监管方式。</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eastAsia="方正仿宋_GBK" w:cs="Times New Roman"/>
          <w:sz w:val="32"/>
          <w:szCs w:val="32"/>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A00002BF" w:usb1="38CF7CFA" w:usb2="00082016" w:usb3="00000000" w:csb0="00040001" w:csb1="00000000"/>
  </w:font>
  <w:font w:name="方正黑体_GBK">
    <w:panose1 w:val="02000000000000000000"/>
    <w:charset w:val="86"/>
    <w:family w:val="auto"/>
    <w:pitch w:val="default"/>
    <w:sig w:usb0="A00002BF" w:usb1="38CF7CFA" w:usb2="00082016" w:usb3="00000000" w:csb0="00040001" w:csb1="00000000"/>
  </w:font>
  <w:font w:name="方正小标宋简体">
    <w:altName w:val="方正小标宋_GBK"/>
    <w:panose1 w:val="03000509000000000000"/>
    <w:charset w:val="86"/>
    <w:family w:val="auto"/>
    <w:pitch w:val="default"/>
    <w:sig w:usb0="00000000" w:usb1="00000000" w:usb2="00000000" w:usb3="00000000" w:csb0="00040000" w:csb1="00000000"/>
  </w:font>
  <w:font w:name="方正小标宋_GBK">
    <w:panose1 w:val="02000000000000000000"/>
    <w:charset w:val="86"/>
    <w:family w:val="auto"/>
    <w:pitch w:val="default"/>
    <w:sig w:usb0="A00002BF" w:usb1="38CF7CFA" w:usb2="00082016" w:usb3="00000000" w:csb0="00040001" w:csb1="00000000"/>
  </w:font>
  <w:font w:name="仿宋_GB2312">
    <w:altName w:val="方正仿宋_GBK"/>
    <w:panose1 w:val="02010609030101010101"/>
    <w:charset w:val="00"/>
    <w:family w:val="modern"/>
    <w:pitch w:val="default"/>
    <w:sig w:usb0="00000000" w:usb1="00000000" w:usb2="00000010" w:usb3="00000000" w:csb0="00040000" w:csb1="00000000"/>
  </w:font>
  <w:font w:name="华文中宋">
    <w:altName w:val="方正书宋_GBK"/>
    <w:panose1 w:val="02010600040101010101"/>
    <w:charset w:val="00"/>
    <w:family w:val="auto"/>
    <w:pitch w:val="default"/>
    <w:sig w:usb0="00000000" w:usb1="00000000" w:usb2="00000010" w:usb3="00000000" w:csb0="0004009F" w:csb1="00000000"/>
  </w:font>
  <w:font w:name="方正仿宋_GBK">
    <w:panose1 w:val="02000000000000000000"/>
    <w:charset w:val="86"/>
    <w:family w:val="auto"/>
    <w:pitch w:val="default"/>
    <w:sig w:usb0="A00002BF" w:usb1="38CF7CFA" w:usb2="00082016" w:usb3="00000000" w:csb0="00040001" w:csb1="00000000"/>
  </w:font>
  <w:font w:name="MT Extra">
    <w:panose1 w:val="02000609000000000000"/>
    <w:charset w:val="00"/>
    <w:family w:val="roman"/>
    <w:pitch w:val="default"/>
    <w:sig w:usb0="00000001" w:usb1="00000000" w:usb2="00000000" w:usb3="00000000" w:csb0="00000001" w:csb1="00000000"/>
  </w:font>
  <w:font w:name="方正楷体_GBK">
    <w:panose1 w:val="02000000000000000000"/>
    <w:charset w:val="86"/>
    <w:family w:val="auto"/>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1947CF"/>
    <w:rsid w:val="4A1947CF"/>
    <w:rsid w:val="CD5F08B3"/>
    <w:rsid w:val="CF7740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Office_11.1.0.11664_F1E327BC-269C-435d-A152-05C5408002CA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2018-07-11T15:11:00Z</dcterms:created>
  <dc:creator>d</dc:creator>
  <cp:lastModifiedBy>周见远</cp:lastModifiedBy>
  <dcterms:modified xsi:type="dcterms:W3CDTF">2023-11-29T16:03:20Z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2052-11.1.0.11664</vt:lpwstr>
  </property>
</Properties>
</file>