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E0981E">
      <w:pPr>
        <w:keepNext w:val="0"/>
        <w:keepLines w:val="0"/>
        <w:pageBreakBefore w:val="0"/>
        <w:widowControl w:val="0"/>
        <w:suppressLineNumbers w:val="0"/>
        <w:kinsoku/>
        <w:wordWrap/>
        <w:overflowPunct/>
        <w:topLinePunct w:val="0"/>
        <w:autoSpaceDE/>
        <w:autoSpaceDN/>
        <w:bidi w:val="0"/>
        <w:adjustRightInd/>
        <w:snapToGrid/>
        <w:spacing w:line="560" w:lineRule="exact"/>
        <w:jc w:val="left"/>
        <w:textAlignment w:val="auto"/>
        <w:rPr>
          <w:rFonts w:hint="default" w:ascii="Times New Roman" w:hAnsi="Times New Roman" w:cs="Times New Roman"/>
        </w:rPr>
      </w:pPr>
      <w:bookmarkStart w:id="0" w:name="_GoBack"/>
    </w:p>
    <w:p w14:paraId="6F11A0B8">
      <w:pPr>
        <w:keepNext w:val="0"/>
        <w:keepLines w:val="0"/>
        <w:pageBreakBefore w:val="0"/>
        <w:widowControl w:val="0"/>
        <w:suppressAutoHyphens/>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方正小标宋_GBK" w:cs="Times New Roman"/>
          <w:color w:val="000000"/>
          <w:kern w:val="0"/>
          <w:sz w:val="44"/>
          <w:szCs w:val="44"/>
        </w:rPr>
      </w:pPr>
      <w:r>
        <w:rPr>
          <w:rFonts w:hint="default" w:ascii="Times New Roman" w:hAnsi="Times New Roman" w:eastAsia="方正小标宋_GBK" w:cs="Times New Roman"/>
          <w:color w:val="000000"/>
          <w:kern w:val="0"/>
          <w:sz w:val="44"/>
          <w:szCs w:val="44"/>
          <w:lang w:eastAsia="zh-CN"/>
        </w:rPr>
        <w:t>长春新区支持</w:t>
      </w:r>
      <w:r>
        <w:rPr>
          <w:rFonts w:hint="default" w:ascii="Times New Roman" w:hAnsi="Times New Roman" w:eastAsia="方正小标宋_GBK" w:cs="Times New Roman"/>
          <w:color w:val="000000"/>
          <w:kern w:val="0"/>
          <w:sz w:val="44"/>
          <w:szCs w:val="44"/>
        </w:rPr>
        <w:t>医药健康产业</w:t>
      </w:r>
    </w:p>
    <w:p w14:paraId="7D720EBE">
      <w:pPr>
        <w:keepNext w:val="0"/>
        <w:keepLines w:val="0"/>
        <w:pageBreakBefore w:val="0"/>
        <w:widowControl w:val="0"/>
        <w:suppressAutoHyphens/>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方正小标宋_GBK" w:cs="Times New Roman"/>
          <w:color w:val="000000"/>
          <w:kern w:val="0"/>
          <w:sz w:val="44"/>
          <w:szCs w:val="44"/>
        </w:rPr>
      </w:pPr>
      <w:r>
        <w:rPr>
          <w:rFonts w:hint="default" w:ascii="Times New Roman" w:hAnsi="Times New Roman" w:eastAsia="方正小标宋_GBK" w:cs="Times New Roman"/>
          <w:color w:val="000000"/>
          <w:kern w:val="0"/>
          <w:sz w:val="44"/>
          <w:szCs w:val="44"/>
        </w:rPr>
        <w:t>高质量发展若干措施</w:t>
      </w:r>
    </w:p>
    <w:p w14:paraId="64A57449">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b w:val="0"/>
          <w:bCs w:val="0"/>
          <w:color w:val="auto"/>
          <w:kern w:val="0"/>
          <w:sz w:val="32"/>
          <w:szCs w:val="32"/>
          <w:lang w:val="en-US" w:eastAsia="zh-CN" w:bidi="ar"/>
        </w:rPr>
      </w:pPr>
    </w:p>
    <w:p w14:paraId="13BB4409">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b w:val="0"/>
          <w:bCs w:val="0"/>
          <w:color w:val="auto"/>
          <w:kern w:val="0"/>
          <w:sz w:val="32"/>
          <w:szCs w:val="32"/>
          <w:lang w:val="en-US" w:eastAsia="zh-CN" w:bidi="ar"/>
        </w:rPr>
      </w:pPr>
      <w:r>
        <w:rPr>
          <w:rFonts w:hint="default" w:ascii="Times New Roman" w:hAnsi="Times New Roman" w:eastAsia="方正仿宋_GBK" w:cs="Times New Roman"/>
          <w:b w:val="0"/>
          <w:bCs w:val="0"/>
          <w:color w:val="auto"/>
          <w:kern w:val="0"/>
          <w:sz w:val="32"/>
          <w:szCs w:val="32"/>
          <w:lang w:val="en-US" w:eastAsia="zh-CN" w:bidi="ar"/>
        </w:rPr>
        <w:t>为促进长春新区医药健康产业加快发展，不断夯实壮大产业基础，培育发展新质生产力，优化提升产业生态，在《长春新区推动经济持续向好若干措施》基础上，出台《长春新区支持医药健康产业高质量发展的若干措施》，形成“1+1”政策支持体系。重点支持领域包括：医药、医疗器械、健康服务、生态优化等方向。</w:t>
      </w:r>
    </w:p>
    <w:p w14:paraId="4952FD23">
      <w:pPr>
        <w:keepNext w:val="0"/>
        <w:keepLines w:val="0"/>
        <w:pageBreakBefore w:val="0"/>
        <w:widowControl w:val="0"/>
        <w:kinsoku/>
        <w:wordWrap/>
        <w:overflowPunct/>
        <w:topLinePunct w:val="0"/>
        <w:autoSpaceDE/>
        <w:autoSpaceDN/>
        <w:bidi w:val="0"/>
        <w:adjustRightInd/>
        <w:snapToGrid/>
        <w:spacing w:line="560" w:lineRule="exact"/>
        <w:ind w:firstLine="643"/>
        <w:textAlignment w:val="auto"/>
        <w:rPr>
          <w:rFonts w:hint="eastAsia" w:ascii="方正楷体_GBK" w:hAnsi="方正楷体_GBK" w:eastAsia="方正楷体_GBK" w:cs="方正楷体_GBK"/>
          <w:b w:val="0"/>
          <w:bCs w:val="0"/>
          <w:i w:val="0"/>
          <w:iCs w:val="0"/>
          <w:caps w:val="0"/>
          <w:color w:val="000000"/>
          <w:spacing w:val="15"/>
          <w:kern w:val="0"/>
          <w:sz w:val="32"/>
          <w:szCs w:val="32"/>
          <w:lang w:val="en-US" w:eastAsia="zh-CN" w:bidi="ar"/>
        </w:rPr>
      </w:pPr>
      <w:r>
        <w:rPr>
          <w:rStyle w:val="10"/>
          <w:rFonts w:hint="default" w:ascii="Times New Roman" w:hAnsi="Times New Roman" w:eastAsia="方正黑体_GBK" w:cs="Times New Roman"/>
          <w:b w:val="0"/>
          <w:bCs w:val="0"/>
          <w:color w:val="auto"/>
          <w:kern w:val="0"/>
          <w:sz w:val="32"/>
          <w:szCs w:val="32"/>
          <w:lang w:val="en-US" w:eastAsia="zh-CN" w:bidi="ar"/>
        </w:rPr>
        <w:t>一、立足长春新区疫苗和重组蛋白药物领域</w:t>
      </w:r>
      <w:r>
        <w:rPr>
          <w:rFonts w:hint="default" w:ascii="Times New Roman" w:hAnsi="Times New Roman" w:eastAsia="方正仿宋_GBK" w:cs="Times New Roman"/>
          <w:b w:val="0"/>
          <w:bCs w:val="0"/>
          <w:i w:val="0"/>
          <w:iCs w:val="0"/>
          <w:caps w:val="0"/>
          <w:color w:val="000000"/>
          <w:spacing w:val="15"/>
          <w:kern w:val="0"/>
          <w:sz w:val="32"/>
          <w:szCs w:val="32"/>
          <w:lang w:val="en-US" w:eastAsia="zh-CN" w:bidi="ar"/>
        </w:rPr>
        <w:t>的发展优势，</w:t>
      </w:r>
      <w:r>
        <w:rPr>
          <w:rStyle w:val="10"/>
          <w:rFonts w:hint="default" w:ascii="Times New Roman" w:hAnsi="Times New Roman" w:eastAsia="方正仿宋_GBK" w:cs="Times New Roman"/>
          <w:b w:val="0"/>
          <w:bCs w:val="0"/>
          <w:color w:val="auto"/>
          <w:kern w:val="0"/>
          <w:sz w:val="32"/>
          <w:szCs w:val="32"/>
          <w:lang w:val="en-US" w:eastAsia="zh-CN" w:bidi="ar"/>
        </w:rPr>
        <w:t>支持企业在</w:t>
      </w:r>
      <w:r>
        <w:rPr>
          <w:rFonts w:hint="default" w:ascii="Times New Roman" w:hAnsi="Times New Roman" w:eastAsia="方正仿宋_GBK" w:cs="Times New Roman"/>
          <w:b w:val="0"/>
          <w:bCs w:val="0"/>
          <w:i w:val="0"/>
          <w:iCs w:val="0"/>
          <w:caps w:val="0"/>
          <w:color w:val="000000"/>
          <w:spacing w:val="15"/>
          <w:kern w:val="0"/>
          <w:sz w:val="32"/>
          <w:szCs w:val="32"/>
          <w:lang w:val="en-US" w:eastAsia="zh-CN" w:bidi="ar"/>
        </w:rPr>
        <w:t>新型疫苗、基因工程药物等生物医药领域的关键技术研发与产业化，推进优势产品升级换代；鼓励在域内外开展广泛的交流合作，引育发展抗体、细胞治疗、血液制品、新基因治疗性药物企业，促进生物药提质升级。</w:t>
      </w:r>
      <w:r>
        <w:rPr>
          <w:rFonts w:hint="eastAsia" w:ascii="方正楷体_GBK" w:hAnsi="方正楷体_GBK" w:eastAsia="方正楷体_GBK" w:cs="方正楷体_GBK"/>
          <w:b w:val="0"/>
          <w:bCs w:val="0"/>
          <w:i w:val="0"/>
          <w:iCs w:val="0"/>
          <w:caps w:val="0"/>
          <w:color w:val="000000"/>
          <w:spacing w:val="15"/>
          <w:kern w:val="0"/>
          <w:sz w:val="32"/>
          <w:szCs w:val="32"/>
          <w:lang w:val="en-US" w:eastAsia="zh-CN" w:bidi="ar"/>
        </w:rPr>
        <w:t>（责任单位：科技局、投促局、工信局）</w:t>
      </w:r>
    </w:p>
    <w:p w14:paraId="08F8C3E8">
      <w:pPr>
        <w:keepNext w:val="0"/>
        <w:keepLines w:val="0"/>
        <w:pageBreakBefore w:val="0"/>
        <w:widowControl w:val="0"/>
        <w:kinsoku/>
        <w:wordWrap/>
        <w:overflowPunct/>
        <w:topLinePunct w:val="0"/>
        <w:autoSpaceDE/>
        <w:autoSpaceDN/>
        <w:bidi w:val="0"/>
        <w:adjustRightInd/>
        <w:snapToGrid/>
        <w:spacing w:line="560" w:lineRule="exact"/>
        <w:ind w:firstLine="643"/>
        <w:textAlignment w:val="auto"/>
        <w:rPr>
          <w:rFonts w:hint="default" w:ascii="方正楷体_GBK" w:hAnsi="方正楷体_GBK" w:eastAsia="方正楷体_GBK" w:cs="方正楷体_GBK"/>
          <w:b w:val="0"/>
          <w:bCs w:val="0"/>
          <w:i w:val="0"/>
          <w:iCs w:val="0"/>
          <w:caps w:val="0"/>
          <w:color w:val="000000"/>
          <w:spacing w:val="15"/>
          <w:kern w:val="0"/>
          <w:sz w:val="32"/>
          <w:szCs w:val="32"/>
          <w:lang w:val="en-US" w:eastAsia="zh-CN" w:bidi="ar"/>
        </w:rPr>
      </w:pPr>
      <w:r>
        <w:rPr>
          <w:rFonts w:hint="default" w:ascii="Times New Roman" w:hAnsi="Times New Roman" w:eastAsia="方正黑体_GBK" w:cs="Times New Roman"/>
          <w:b w:val="0"/>
          <w:bCs w:val="0"/>
          <w:i w:val="0"/>
          <w:iCs w:val="0"/>
          <w:caps w:val="0"/>
          <w:color w:val="000000"/>
          <w:spacing w:val="15"/>
          <w:kern w:val="0"/>
          <w:sz w:val="32"/>
          <w:szCs w:val="32"/>
          <w:lang w:val="en-US" w:eastAsia="zh-CN" w:bidi="ar"/>
        </w:rPr>
        <w:t>二、依托长春新区北湖精细化工产业园</w:t>
      </w:r>
      <w:r>
        <w:rPr>
          <w:rFonts w:hint="default" w:ascii="Times New Roman" w:hAnsi="Times New Roman" w:eastAsia="方正仿宋_GBK" w:cs="Times New Roman"/>
          <w:b w:val="0"/>
          <w:bCs w:val="0"/>
          <w:i w:val="0"/>
          <w:iCs w:val="0"/>
          <w:caps w:val="0"/>
          <w:color w:val="000000"/>
          <w:spacing w:val="15"/>
          <w:kern w:val="0"/>
          <w:sz w:val="32"/>
          <w:szCs w:val="32"/>
          <w:lang w:val="en-US" w:eastAsia="zh-CN" w:bidi="ar"/>
        </w:rPr>
        <w:t>，吸引国内外头部原料药、中间体等企业入驻，发展低污染、低耗能和高附加值的特色原料药，提升原料药生产水平，支持化学药新药创制和仿制药协同发展。</w:t>
      </w:r>
      <w:r>
        <w:rPr>
          <w:rFonts w:hint="default" w:ascii="方正楷体_GBK" w:hAnsi="方正楷体_GBK" w:eastAsia="方正楷体_GBK" w:cs="方正楷体_GBK"/>
          <w:b w:val="0"/>
          <w:bCs w:val="0"/>
          <w:i w:val="0"/>
          <w:iCs w:val="0"/>
          <w:caps w:val="0"/>
          <w:color w:val="000000"/>
          <w:spacing w:val="15"/>
          <w:kern w:val="0"/>
          <w:sz w:val="32"/>
          <w:szCs w:val="32"/>
          <w:lang w:val="en-US" w:eastAsia="zh-CN" w:bidi="ar"/>
        </w:rPr>
        <w:t>（责任单位：投促局、科技局、工信局）</w:t>
      </w:r>
    </w:p>
    <w:p w14:paraId="53BB53B9">
      <w:pPr>
        <w:keepNext w:val="0"/>
        <w:keepLines w:val="0"/>
        <w:pageBreakBefore w:val="0"/>
        <w:widowControl w:val="0"/>
        <w:kinsoku/>
        <w:wordWrap/>
        <w:overflowPunct/>
        <w:topLinePunct w:val="0"/>
        <w:autoSpaceDE/>
        <w:autoSpaceDN/>
        <w:bidi w:val="0"/>
        <w:adjustRightInd/>
        <w:snapToGrid/>
        <w:spacing w:line="560" w:lineRule="exact"/>
        <w:ind w:firstLine="643"/>
        <w:textAlignment w:val="auto"/>
        <w:rPr>
          <w:rFonts w:hint="default" w:ascii="方正楷体_GBK" w:hAnsi="方正楷体_GBK" w:eastAsia="方正楷体_GBK" w:cs="方正楷体_GBK"/>
          <w:b w:val="0"/>
          <w:bCs w:val="0"/>
          <w:i w:val="0"/>
          <w:iCs w:val="0"/>
          <w:caps w:val="0"/>
          <w:color w:val="000000"/>
          <w:spacing w:val="15"/>
          <w:kern w:val="0"/>
          <w:sz w:val="32"/>
          <w:szCs w:val="32"/>
          <w:lang w:val="en-US" w:eastAsia="zh-CN" w:bidi="ar"/>
        </w:rPr>
      </w:pPr>
      <w:r>
        <w:rPr>
          <w:rFonts w:hint="default" w:ascii="Times New Roman" w:hAnsi="Times New Roman" w:eastAsia="方正黑体_GBK" w:cs="Times New Roman"/>
          <w:b w:val="0"/>
          <w:bCs w:val="0"/>
          <w:i w:val="0"/>
          <w:iCs w:val="0"/>
          <w:caps w:val="0"/>
          <w:color w:val="000000"/>
          <w:spacing w:val="15"/>
          <w:kern w:val="0"/>
          <w:sz w:val="32"/>
          <w:szCs w:val="32"/>
          <w:lang w:val="en-US" w:eastAsia="zh-CN" w:bidi="ar"/>
        </w:rPr>
        <w:t>三、支持域内外企业在长春新区开展创新中药开发</w:t>
      </w:r>
      <w:r>
        <w:rPr>
          <w:rFonts w:hint="default" w:ascii="Times New Roman" w:hAnsi="Times New Roman" w:eastAsia="方正仿宋_GBK" w:cs="Times New Roman"/>
          <w:b w:val="0"/>
          <w:bCs w:val="0"/>
          <w:i w:val="0"/>
          <w:iCs w:val="0"/>
          <w:caps w:val="0"/>
          <w:color w:val="000000"/>
          <w:spacing w:val="15"/>
          <w:kern w:val="0"/>
          <w:sz w:val="32"/>
          <w:szCs w:val="32"/>
          <w:lang w:val="en-US" w:eastAsia="zh-CN" w:bidi="ar"/>
        </w:rPr>
        <w:t>与产业化、中药材精深加工与转化增值，以经典名方和大品种二次开发为重点，发展中成药新品种，扩大现代科技在中药研发和生产中的应用，提高和完善中药全产业链的技术标准和规范，鼓励企业兼并重组与资源整合，不断壮大产业规模。</w:t>
      </w:r>
      <w:r>
        <w:rPr>
          <w:rFonts w:hint="default" w:ascii="方正楷体_GBK" w:hAnsi="方正楷体_GBK" w:eastAsia="方正楷体_GBK" w:cs="方正楷体_GBK"/>
          <w:b w:val="0"/>
          <w:bCs w:val="0"/>
          <w:i w:val="0"/>
          <w:iCs w:val="0"/>
          <w:caps w:val="0"/>
          <w:color w:val="000000"/>
          <w:spacing w:val="15"/>
          <w:kern w:val="0"/>
          <w:sz w:val="32"/>
          <w:szCs w:val="32"/>
          <w:lang w:val="en-US" w:eastAsia="zh-CN" w:bidi="ar"/>
        </w:rPr>
        <w:t>（责任单位：卫健局、投促局、工信局、科技局）</w:t>
      </w:r>
    </w:p>
    <w:p w14:paraId="6057DC44">
      <w:pPr>
        <w:keepNext w:val="0"/>
        <w:keepLines w:val="0"/>
        <w:pageBreakBefore w:val="0"/>
        <w:widowControl w:val="0"/>
        <w:kinsoku/>
        <w:wordWrap/>
        <w:overflowPunct/>
        <w:topLinePunct w:val="0"/>
        <w:autoSpaceDE/>
        <w:autoSpaceDN/>
        <w:bidi w:val="0"/>
        <w:adjustRightInd/>
        <w:snapToGrid/>
        <w:spacing w:line="560" w:lineRule="exact"/>
        <w:ind w:firstLine="643"/>
        <w:textAlignment w:val="auto"/>
        <w:rPr>
          <w:rFonts w:hint="default" w:ascii="方正楷体_GBK" w:hAnsi="方正楷体_GBK" w:eastAsia="方正楷体_GBK" w:cs="方正楷体_GBK"/>
          <w:b w:val="0"/>
          <w:bCs w:val="0"/>
          <w:i w:val="0"/>
          <w:iCs w:val="0"/>
          <w:caps w:val="0"/>
          <w:color w:val="000000"/>
          <w:spacing w:val="15"/>
          <w:kern w:val="0"/>
          <w:sz w:val="32"/>
          <w:szCs w:val="32"/>
          <w:lang w:val="en-US" w:eastAsia="zh-CN" w:bidi="ar"/>
        </w:rPr>
      </w:pPr>
      <w:r>
        <w:rPr>
          <w:rFonts w:hint="default" w:ascii="Times New Roman" w:hAnsi="Times New Roman" w:eastAsia="方正黑体_GBK" w:cs="Times New Roman"/>
          <w:b w:val="0"/>
          <w:bCs w:val="0"/>
          <w:i w:val="0"/>
          <w:iCs w:val="0"/>
          <w:caps w:val="0"/>
          <w:color w:val="000000"/>
          <w:spacing w:val="15"/>
          <w:kern w:val="0"/>
          <w:sz w:val="32"/>
          <w:szCs w:val="32"/>
          <w:lang w:val="en-US" w:eastAsia="zh-CN" w:bidi="ar"/>
        </w:rPr>
        <w:t>四、对生物药、中药、化学药创新药和改良型新药的新药研发</w:t>
      </w:r>
      <w:r>
        <w:rPr>
          <w:rFonts w:hint="default" w:ascii="Times New Roman" w:hAnsi="Times New Roman" w:eastAsia="方正仿宋_GBK" w:cs="Times New Roman"/>
          <w:b w:val="0"/>
          <w:bCs w:val="0"/>
          <w:i w:val="0"/>
          <w:iCs w:val="0"/>
          <w:caps w:val="0"/>
          <w:color w:val="000000"/>
          <w:spacing w:val="15"/>
          <w:kern w:val="0"/>
          <w:sz w:val="32"/>
          <w:szCs w:val="32"/>
          <w:lang w:val="en-US" w:eastAsia="zh-CN" w:bidi="ar"/>
        </w:rPr>
        <w:t>；在创新药、改良型新药及突破性治疗药物取得进展时，按照市级政策支持额度的5%，分级分类给予配套奖励。对直接引进已取得阶段性成果的创新药、改良型新药及突破性治疗药物，参照市级相应阶段政策的50%，给予资金奖励。</w:t>
      </w:r>
      <w:r>
        <w:rPr>
          <w:rFonts w:hint="default" w:ascii="方正楷体_GBK" w:hAnsi="方正楷体_GBK" w:eastAsia="方正楷体_GBK" w:cs="方正楷体_GBK"/>
          <w:b w:val="0"/>
          <w:bCs w:val="0"/>
          <w:i w:val="0"/>
          <w:iCs w:val="0"/>
          <w:caps w:val="0"/>
          <w:color w:val="000000"/>
          <w:spacing w:val="15"/>
          <w:kern w:val="0"/>
          <w:sz w:val="32"/>
          <w:szCs w:val="32"/>
          <w:lang w:val="en-US" w:eastAsia="zh-CN" w:bidi="ar"/>
        </w:rPr>
        <w:t>（责任单位：科技局、工信局、投促局、财政局）</w:t>
      </w:r>
    </w:p>
    <w:p w14:paraId="0DC93AFF">
      <w:pPr>
        <w:keepNext w:val="0"/>
        <w:keepLines w:val="0"/>
        <w:pageBreakBefore w:val="0"/>
        <w:widowControl w:val="0"/>
        <w:kinsoku/>
        <w:wordWrap/>
        <w:overflowPunct/>
        <w:topLinePunct w:val="0"/>
        <w:autoSpaceDE/>
        <w:autoSpaceDN/>
        <w:bidi w:val="0"/>
        <w:adjustRightInd/>
        <w:snapToGrid/>
        <w:spacing w:line="560" w:lineRule="exact"/>
        <w:ind w:firstLine="643"/>
        <w:textAlignment w:val="auto"/>
        <w:rPr>
          <w:rFonts w:hint="default" w:ascii="方正楷体_GBK" w:hAnsi="方正楷体_GBK" w:eastAsia="方正楷体_GBK" w:cs="方正楷体_GBK"/>
          <w:b w:val="0"/>
          <w:bCs w:val="0"/>
          <w:i w:val="0"/>
          <w:iCs w:val="0"/>
          <w:caps w:val="0"/>
          <w:color w:val="000000"/>
          <w:spacing w:val="15"/>
          <w:kern w:val="0"/>
          <w:sz w:val="32"/>
          <w:szCs w:val="32"/>
          <w:lang w:val="en-US" w:eastAsia="zh-CN" w:bidi="ar"/>
        </w:rPr>
      </w:pPr>
      <w:r>
        <w:rPr>
          <w:rFonts w:hint="default" w:ascii="Times New Roman" w:hAnsi="Times New Roman" w:eastAsia="方正黑体_GBK" w:cs="Times New Roman"/>
          <w:b w:val="0"/>
          <w:bCs w:val="0"/>
          <w:i w:val="0"/>
          <w:iCs w:val="0"/>
          <w:caps w:val="0"/>
          <w:color w:val="000000"/>
          <w:spacing w:val="15"/>
          <w:kern w:val="0"/>
          <w:sz w:val="32"/>
          <w:szCs w:val="32"/>
          <w:lang w:val="en-US" w:eastAsia="zh-CN" w:bidi="ar"/>
        </w:rPr>
        <w:t>五、对药品上市许可持有人委托本区内药品企业生产</w:t>
      </w:r>
      <w:r>
        <w:rPr>
          <w:rFonts w:hint="default" w:ascii="Times New Roman" w:hAnsi="Times New Roman" w:eastAsia="方正仿宋_GBK" w:cs="Times New Roman"/>
          <w:b w:val="0"/>
          <w:bCs w:val="0"/>
          <w:i w:val="0"/>
          <w:iCs w:val="0"/>
          <w:caps w:val="0"/>
          <w:color w:val="000000"/>
          <w:spacing w:val="15"/>
          <w:kern w:val="0"/>
          <w:sz w:val="32"/>
          <w:szCs w:val="32"/>
          <w:lang w:val="en-US" w:eastAsia="zh-CN" w:bidi="ar"/>
        </w:rPr>
        <w:t>，且产值、销售、税收结算在本区内的，对药品上市许可持有人和委托生产企业，按照市级政策支持额度的5%，分别按年度给予配套奖励。</w:t>
      </w:r>
      <w:r>
        <w:rPr>
          <w:rFonts w:hint="default" w:ascii="方正楷体_GBK" w:hAnsi="方正楷体_GBK" w:eastAsia="方正楷体_GBK" w:cs="方正楷体_GBK"/>
          <w:b w:val="0"/>
          <w:bCs w:val="0"/>
          <w:i w:val="0"/>
          <w:iCs w:val="0"/>
          <w:caps w:val="0"/>
          <w:color w:val="000000"/>
          <w:spacing w:val="15"/>
          <w:kern w:val="0"/>
          <w:sz w:val="32"/>
          <w:szCs w:val="32"/>
          <w:lang w:val="en-US" w:eastAsia="zh-CN" w:bidi="ar"/>
        </w:rPr>
        <w:t>（责任单位：工信局、投促局、财政局）</w:t>
      </w:r>
    </w:p>
    <w:p w14:paraId="5107CCC1">
      <w:pPr>
        <w:keepNext w:val="0"/>
        <w:keepLines w:val="0"/>
        <w:pageBreakBefore w:val="0"/>
        <w:widowControl w:val="0"/>
        <w:suppressLineNumbers w:val="0"/>
        <w:kinsoku/>
        <w:wordWrap/>
        <w:overflowPunct/>
        <w:topLinePunct w:val="0"/>
        <w:autoSpaceDE/>
        <w:autoSpaceDN/>
        <w:bidi w:val="0"/>
        <w:adjustRightInd/>
        <w:snapToGrid/>
        <w:spacing w:line="560" w:lineRule="exact"/>
        <w:ind w:firstLine="700" w:firstLineChars="200"/>
        <w:jc w:val="left"/>
        <w:textAlignment w:val="auto"/>
        <w:rPr>
          <w:rFonts w:hint="default" w:ascii="方正楷体_GBK" w:hAnsi="方正楷体_GBK" w:eastAsia="方正楷体_GBK" w:cs="方正楷体_GBK"/>
          <w:b w:val="0"/>
          <w:bCs w:val="0"/>
          <w:i w:val="0"/>
          <w:iCs w:val="0"/>
          <w:caps w:val="0"/>
          <w:color w:val="000000"/>
          <w:spacing w:val="15"/>
          <w:kern w:val="0"/>
          <w:sz w:val="32"/>
          <w:szCs w:val="32"/>
          <w:lang w:val="en-US" w:eastAsia="zh-CN" w:bidi="ar"/>
        </w:rPr>
      </w:pPr>
      <w:r>
        <w:rPr>
          <w:rFonts w:hint="default" w:ascii="Times New Roman" w:hAnsi="Times New Roman" w:eastAsia="方正黑体_GBK" w:cs="Times New Roman"/>
          <w:b w:val="0"/>
          <w:bCs w:val="0"/>
          <w:i w:val="0"/>
          <w:iCs w:val="0"/>
          <w:caps w:val="0"/>
          <w:color w:val="000000"/>
          <w:spacing w:val="15"/>
          <w:kern w:val="0"/>
          <w:sz w:val="32"/>
          <w:szCs w:val="32"/>
          <w:lang w:val="en-US" w:eastAsia="zh-CN" w:bidi="ar"/>
        </w:rPr>
        <w:t>六、充分利用长春新区在光电及智能制造领域的研发优势</w:t>
      </w:r>
      <w:r>
        <w:rPr>
          <w:rFonts w:hint="default" w:ascii="Times New Roman" w:hAnsi="Times New Roman" w:eastAsia="方正仿宋_GBK" w:cs="Times New Roman"/>
          <w:b w:val="0"/>
          <w:bCs w:val="0"/>
          <w:i w:val="0"/>
          <w:iCs w:val="0"/>
          <w:caps w:val="0"/>
          <w:color w:val="000000"/>
          <w:spacing w:val="15"/>
          <w:kern w:val="0"/>
          <w:sz w:val="32"/>
          <w:szCs w:val="32"/>
          <w:lang w:val="en-US" w:eastAsia="zh-CN" w:bidi="ar"/>
        </w:rPr>
        <w:t>，重点支持企业在体外诊断产品、医用材料、智慧医疗产品，以及制药设备与检测仪器等方面开展研究与产业化，鼓励对已上市产品和技术更新升级换代，支持在医疗器械关键技术、核心部件领域的合作开发和引进升级，提高工艺及装备自动化、智能化和信息化水平。</w:t>
      </w:r>
      <w:r>
        <w:rPr>
          <w:rFonts w:hint="default" w:ascii="方正楷体_GBK" w:hAnsi="方正楷体_GBK" w:eastAsia="方正楷体_GBK" w:cs="方正楷体_GBK"/>
          <w:b w:val="0"/>
          <w:bCs w:val="0"/>
          <w:i w:val="0"/>
          <w:iCs w:val="0"/>
          <w:caps w:val="0"/>
          <w:color w:val="000000"/>
          <w:spacing w:val="15"/>
          <w:kern w:val="0"/>
          <w:sz w:val="32"/>
          <w:szCs w:val="32"/>
          <w:lang w:val="en-US" w:eastAsia="zh-CN" w:bidi="ar"/>
        </w:rPr>
        <w:t>（责任单位：科技局、工信局、投促局）</w:t>
      </w:r>
    </w:p>
    <w:p w14:paraId="43316B65">
      <w:pPr>
        <w:keepNext w:val="0"/>
        <w:keepLines w:val="0"/>
        <w:pageBreakBefore w:val="0"/>
        <w:widowControl w:val="0"/>
        <w:suppressLineNumbers w:val="0"/>
        <w:kinsoku/>
        <w:wordWrap/>
        <w:overflowPunct/>
        <w:topLinePunct w:val="0"/>
        <w:autoSpaceDE/>
        <w:autoSpaceDN/>
        <w:bidi w:val="0"/>
        <w:adjustRightInd/>
        <w:snapToGrid/>
        <w:spacing w:line="560" w:lineRule="exact"/>
        <w:ind w:firstLine="700" w:firstLineChars="200"/>
        <w:jc w:val="left"/>
        <w:textAlignment w:val="auto"/>
        <w:rPr>
          <w:rFonts w:hint="default" w:ascii="方正楷体_GBK" w:hAnsi="方正楷体_GBK" w:eastAsia="方正楷体_GBK" w:cs="方正楷体_GBK"/>
          <w:b w:val="0"/>
          <w:bCs w:val="0"/>
          <w:i w:val="0"/>
          <w:iCs w:val="0"/>
          <w:caps w:val="0"/>
          <w:color w:val="000000"/>
          <w:spacing w:val="15"/>
          <w:kern w:val="0"/>
          <w:sz w:val="32"/>
          <w:szCs w:val="32"/>
          <w:lang w:val="en-US" w:eastAsia="zh-CN" w:bidi="ar"/>
        </w:rPr>
      </w:pPr>
      <w:r>
        <w:rPr>
          <w:rFonts w:hint="default" w:ascii="Times New Roman" w:hAnsi="Times New Roman" w:eastAsia="方正黑体_GBK" w:cs="Times New Roman"/>
          <w:b w:val="0"/>
          <w:bCs w:val="0"/>
          <w:i w:val="0"/>
          <w:iCs w:val="0"/>
          <w:caps w:val="0"/>
          <w:color w:val="000000"/>
          <w:spacing w:val="15"/>
          <w:kern w:val="0"/>
          <w:sz w:val="32"/>
          <w:szCs w:val="32"/>
          <w:lang w:val="en-US" w:eastAsia="zh-CN" w:bidi="ar"/>
        </w:rPr>
        <w:t>七、对首次获得医疗器械注册证书并具有发明专利的第三类医疗器械产品</w:t>
      </w:r>
      <w:r>
        <w:rPr>
          <w:rFonts w:hint="default" w:ascii="Times New Roman" w:hAnsi="Times New Roman" w:eastAsia="方正仿宋_GBK" w:cs="Times New Roman"/>
          <w:b w:val="0"/>
          <w:bCs w:val="0"/>
          <w:i w:val="0"/>
          <w:iCs w:val="0"/>
          <w:caps w:val="0"/>
          <w:color w:val="000000"/>
          <w:spacing w:val="15"/>
          <w:kern w:val="0"/>
          <w:sz w:val="32"/>
          <w:szCs w:val="32"/>
          <w:lang w:val="en-US" w:eastAsia="zh-CN" w:bidi="ar"/>
        </w:rPr>
        <w:t>，按照市级政策支持额度的5%，给予配套奖励。</w:t>
      </w:r>
      <w:r>
        <w:rPr>
          <w:rFonts w:hint="default" w:ascii="方正楷体_GBK" w:hAnsi="方正楷体_GBK" w:eastAsia="方正楷体_GBK" w:cs="方正楷体_GBK"/>
          <w:b w:val="0"/>
          <w:bCs w:val="0"/>
          <w:i w:val="0"/>
          <w:iCs w:val="0"/>
          <w:caps w:val="0"/>
          <w:color w:val="000000"/>
          <w:spacing w:val="15"/>
          <w:kern w:val="0"/>
          <w:sz w:val="32"/>
          <w:szCs w:val="32"/>
          <w:lang w:val="en-US" w:eastAsia="zh-CN" w:bidi="ar"/>
        </w:rPr>
        <w:t>（责任单位：市场监管分局、科技局、工信局、财政局）</w:t>
      </w:r>
    </w:p>
    <w:p w14:paraId="5352DC13">
      <w:pPr>
        <w:keepNext w:val="0"/>
        <w:keepLines w:val="0"/>
        <w:pageBreakBefore w:val="0"/>
        <w:widowControl w:val="0"/>
        <w:suppressLineNumbers w:val="0"/>
        <w:kinsoku/>
        <w:wordWrap/>
        <w:overflowPunct/>
        <w:topLinePunct w:val="0"/>
        <w:autoSpaceDE/>
        <w:autoSpaceDN/>
        <w:bidi w:val="0"/>
        <w:adjustRightInd/>
        <w:snapToGrid/>
        <w:spacing w:line="560" w:lineRule="exact"/>
        <w:ind w:firstLine="700" w:firstLineChars="200"/>
        <w:jc w:val="left"/>
        <w:textAlignment w:val="auto"/>
        <w:rPr>
          <w:rFonts w:hint="default" w:ascii="Times New Roman" w:hAnsi="Times New Roman" w:eastAsia="方正仿宋_GBK" w:cs="Times New Roman"/>
          <w:b w:val="0"/>
          <w:bCs w:val="0"/>
          <w:i w:val="0"/>
          <w:iCs w:val="0"/>
          <w:caps w:val="0"/>
          <w:color w:val="000000"/>
          <w:spacing w:val="15"/>
          <w:kern w:val="0"/>
          <w:sz w:val="32"/>
          <w:szCs w:val="32"/>
          <w:lang w:val="en-US" w:eastAsia="zh-CN" w:bidi="ar"/>
        </w:rPr>
      </w:pPr>
      <w:r>
        <w:rPr>
          <w:rFonts w:hint="default" w:ascii="Times New Roman" w:hAnsi="Times New Roman" w:eastAsia="方正黑体_GBK" w:cs="Times New Roman"/>
          <w:b w:val="0"/>
          <w:bCs w:val="0"/>
          <w:i w:val="0"/>
          <w:iCs w:val="0"/>
          <w:caps w:val="0"/>
          <w:color w:val="000000"/>
          <w:spacing w:val="15"/>
          <w:kern w:val="0"/>
          <w:sz w:val="32"/>
          <w:szCs w:val="32"/>
          <w:lang w:val="en-US" w:eastAsia="zh-CN" w:bidi="ar"/>
        </w:rPr>
        <w:t>八、完善医疗卫生服务体系，提升医疗机构服务质量和水平。</w:t>
      </w:r>
      <w:r>
        <w:rPr>
          <w:rFonts w:hint="default" w:ascii="Times New Roman" w:hAnsi="Times New Roman" w:eastAsia="方正仿宋_GBK" w:cs="Times New Roman"/>
          <w:b w:val="0"/>
          <w:bCs w:val="0"/>
          <w:i w:val="0"/>
          <w:iCs w:val="0"/>
          <w:caps w:val="0"/>
          <w:color w:val="000000"/>
          <w:spacing w:val="15"/>
          <w:kern w:val="0"/>
          <w:sz w:val="32"/>
          <w:szCs w:val="32"/>
          <w:lang w:val="en-US" w:eastAsia="zh-CN" w:bidi="ar"/>
        </w:rPr>
        <w:t>围绕人民生命健康，高质量引入社会办医、医疗护理、中医养生保健等机构，加快完善健康养老、健康体检等服务业态，推动健康服务多样化发展，形成多元化健康服务保障体系。</w:t>
      </w:r>
      <w:r>
        <w:rPr>
          <w:rFonts w:hint="default" w:ascii="方正楷体_GBK" w:hAnsi="方正楷体_GBK" w:eastAsia="方正楷体_GBK" w:cs="方正楷体_GBK"/>
          <w:b w:val="0"/>
          <w:bCs w:val="0"/>
          <w:i w:val="0"/>
          <w:iCs w:val="0"/>
          <w:caps w:val="0"/>
          <w:color w:val="000000"/>
          <w:spacing w:val="15"/>
          <w:kern w:val="0"/>
          <w:sz w:val="32"/>
          <w:szCs w:val="32"/>
          <w:lang w:val="en-US" w:eastAsia="zh-CN" w:bidi="ar"/>
        </w:rPr>
        <w:t>（责任单位：卫健局、投促局）</w:t>
      </w:r>
    </w:p>
    <w:p w14:paraId="4B00F43E">
      <w:pPr>
        <w:keepNext w:val="0"/>
        <w:keepLines w:val="0"/>
        <w:pageBreakBefore w:val="0"/>
        <w:widowControl w:val="0"/>
        <w:suppressLineNumbers w:val="0"/>
        <w:kinsoku/>
        <w:wordWrap/>
        <w:overflowPunct/>
        <w:topLinePunct w:val="0"/>
        <w:autoSpaceDE/>
        <w:autoSpaceDN/>
        <w:bidi w:val="0"/>
        <w:adjustRightInd/>
        <w:snapToGrid/>
        <w:spacing w:line="560" w:lineRule="exact"/>
        <w:ind w:firstLine="700" w:firstLineChars="200"/>
        <w:jc w:val="left"/>
        <w:textAlignment w:val="auto"/>
        <w:rPr>
          <w:rFonts w:hint="default" w:ascii="Times New Roman" w:hAnsi="Times New Roman" w:eastAsia="方正仿宋_GBK" w:cs="Times New Roman"/>
          <w:b w:val="0"/>
          <w:bCs w:val="0"/>
          <w:i w:val="0"/>
          <w:iCs w:val="0"/>
          <w:caps w:val="0"/>
          <w:color w:val="000000"/>
          <w:spacing w:val="15"/>
          <w:kern w:val="0"/>
          <w:sz w:val="32"/>
          <w:szCs w:val="32"/>
          <w:lang w:val="en-US" w:eastAsia="zh-CN" w:bidi="ar"/>
        </w:rPr>
      </w:pPr>
      <w:r>
        <w:rPr>
          <w:rFonts w:hint="default" w:ascii="Times New Roman" w:hAnsi="Times New Roman" w:eastAsia="方正黑体_GBK" w:cs="Times New Roman"/>
          <w:b w:val="0"/>
          <w:bCs w:val="0"/>
          <w:i w:val="0"/>
          <w:iCs w:val="0"/>
          <w:caps w:val="0"/>
          <w:color w:val="000000"/>
          <w:spacing w:val="15"/>
          <w:kern w:val="0"/>
          <w:sz w:val="32"/>
          <w:szCs w:val="32"/>
          <w:lang w:val="en-US" w:eastAsia="zh-CN" w:bidi="ar"/>
        </w:rPr>
        <w:t>九、支持临床重点专科建设，以重大疾病预防和临床需求为导向</w:t>
      </w:r>
      <w:r>
        <w:rPr>
          <w:rFonts w:hint="default" w:ascii="Times New Roman" w:hAnsi="Times New Roman" w:eastAsia="方正仿宋_GBK" w:cs="Times New Roman"/>
          <w:b w:val="0"/>
          <w:bCs w:val="0"/>
          <w:i w:val="0"/>
          <w:iCs w:val="0"/>
          <w:caps w:val="0"/>
          <w:color w:val="000000"/>
          <w:spacing w:val="15"/>
          <w:kern w:val="0"/>
          <w:sz w:val="32"/>
          <w:szCs w:val="32"/>
          <w:lang w:val="en-US" w:eastAsia="zh-CN" w:bidi="ar"/>
        </w:rPr>
        <w:t>，积极引进和发展需求较大、跨区域就医占比较高的心血管系统、神经系统、急危重症、恶性肿瘤、呼吸系统等相关专科，助推高水平医疗技术进步。</w:t>
      </w:r>
      <w:r>
        <w:rPr>
          <w:rFonts w:hint="default" w:ascii="方正楷体_GBK" w:hAnsi="方正楷体_GBK" w:eastAsia="方正楷体_GBK" w:cs="方正楷体_GBK"/>
          <w:b w:val="0"/>
          <w:bCs w:val="0"/>
          <w:i w:val="0"/>
          <w:iCs w:val="0"/>
          <w:caps w:val="0"/>
          <w:color w:val="000000"/>
          <w:spacing w:val="15"/>
          <w:kern w:val="0"/>
          <w:sz w:val="32"/>
          <w:szCs w:val="32"/>
          <w:lang w:val="en-US" w:eastAsia="zh-CN" w:bidi="ar"/>
        </w:rPr>
        <w:t>（责任单位：卫健局、投促局）</w:t>
      </w:r>
    </w:p>
    <w:p w14:paraId="3118FD68">
      <w:pPr>
        <w:keepNext w:val="0"/>
        <w:keepLines w:val="0"/>
        <w:pageBreakBefore w:val="0"/>
        <w:widowControl w:val="0"/>
        <w:suppressLineNumbers w:val="0"/>
        <w:kinsoku/>
        <w:wordWrap/>
        <w:overflowPunct/>
        <w:topLinePunct w:val="0"/>
        <w:autoSpaceDE/>
        <w:autoSpaceDN/>
        <w:bidi w:val="0"/>
        <w:adjustRightInd/>
        <w:snapToGrid/>
        <w:spacing w:line="560" w:lineRule="exact"/>
        <w:ind w:firstLine="700" w:firstLineChars="200"/>
        <w:jc w:val="left"/>
        <w:textAlignment w:val="auto"/>
        <w:rPr>
          <w:rFonts w:hint="default" w:ascii="Times New Roman" w:hAnsi="Times New Roman" w:eastAsia="方正仿宋_GBK" w:cs="Times New Roman"/>
          <w:b w:val="0"/>
          <w:bCs w:val="0"/>
          <w:i w:val="0"/>
          <w:iCs w:val="0"/>
          <w:caps w:val="0"/>
          <w:color w:val="000000"/>
          <w:spacing w:val="15"/>
          <w:kern w:val="0"/>
          <w:sz w:val="32"/>
          <w:szCs w:val="32"/>
          <w:lang w:val="en-US" w:eastAsia="zh-CN" w:bidi="ar"/>
        </w:rPr>
      </w:pPr>
      <w:r>
        <w:rPr>
          <w:rFonts w:hint="default" w:ascii="Times New Roman" w:hAnsi="Times New Roman" w:eastAsia="方正黑体_GBK" w:cs="Times New Roman"/>
          <w:b w:val="0"/>
          <w:bCs w:val="0"/>
          <w:i w:val="0"/>
          <w:iCs w:val="0"/>
          <w:caps w:val="0"/>
          <w:color w:val="000000"/>
          <w:spacing w:val="15"/>
          <w:kern w:val="0"/>
          <w:sz w:val="32"/>
          <w:szCs w:val="32"/>
          <w:lang w:val="en-US" w:eastAsia="zh-CN" w:bidi="ar"/>
        </w:rPr>
        <w:t>十、鼓励龙头企业开展品牌衍生行动，布局药膳、药酒、药茶、保健品等药食两用产品市场</w:t>
      </w:r>
      <w:r>
        <w:rPr>
          <w:rFonts w:hint="default" w:ascii="Times New Roman" w:hAnsi="Times New Roman" w:eastAsia="方正仿宋_GBK" w:cs="Times New Roman"/>
          <w:b w:val="0"/>
          <w:bCs w:val="0"/>
          <w:i w:val="0"/>
          <w:iCs w:val="0"/>
          <w:caps w:val="0"/>
          <w:color w:val="000000"/>
          <w:spacing w:val="15"/>
          <w:kern w:val="0"/>
          <w:sz w:val="32"/>
          <w:szCs w:val="32"/>
          <w:lang w:val="en-US" w:eastAsia="zh-CN" w:bidi="ar"/>
        </w:rPr>
        <w:t>；积极引进和培育优质健康食品企业，研发生产特殊医学用途配方食品、保健食品；支持中药企业采用分离、纯化、提取等技术开展“药食同源”，推进人参、鹿茸等药材资源在食、健、药链条上的开发与应用。</w:t>
      </w:r>
      <w:r>
        <w:rPr>
          <w:rFonts w:hint="default" w:ascii="方正楷体_GBK" w:hAnsi="方正楷体_GBK" w:eastAsia="方正楷体_GBK" w:cs="方正楷体_GBK"/>
          <w:b w:val="0"/>
          <w:bCs w:val="0"/>
          <w:i w:val="0"/>
          <w:iCs w:val="0"/>
          <w:caps w:val="0"/>
          <w:color w:val="000000"/>
          <w:spacing w:val="15"/>
          <w:kern w:val="0"/>
          <w:sz w:val="32"/>
          <w:szCs w:val="32"/>
          <w:lang w:val="en-US" w:eastAsia="zh-CN" w:bidi="ar"/>
        </w:rPr>
        <w:t>（责任单位：市场监管分局、卫健局）</w:t>
      </w:r>
    </w:p>
    <w:p w14:paraId="014BF9EA">
      <w:pPr>
        <w:keepNext w:val="0"/>
        <w:keepLines w:val="0"/>
        <w:pageBreakBefore w:val="0"/>
        <w:widowControl w:val="0"/>
        <w:suppressLineNumbers w:val="0"/>
        <w:kinsoku/>
        <w:wordWrap/>
        <w:overflowPunct/>
        <w:topLinePunct w:val="0"/>
        <w:autoSpaceDE/>
        <w:autoSpaceDN/>
        <w:bidi w:val="0"/>
        <w:adjustRightInd/>
        <w:snapToGrid/>
        <w:spacing w:line="560" w:lineRule="exact"/>
        <w:ind w:firstLine="700" w:firstLineChars="200"/>
        <w:jc w:val="left"/>
        <w:textAlignment w:val="auto"/>
        <w:rPr>
          <w:rFonts w:hint="default" w:ascii="Times New Roman" w:hAnsi="Times New Roman" w:eastAsia="方正仿宋_GBK" w:cs="Times New Roman"/>
          <w:b w:val="0"/>
          <w:bCs w:val="0"/>
          <w:i w:val="0"/>
          <w:iCs w:val="0"/>
          <w:caps w:val="0"/>
          <w:color w:val="000000"/>
          <w:spacing w:val="15"/>
          <w:kern w:val="0"/>
          <w:sz w:val="32"/>
          <w:szCs w:val="32"/>
          <w:lang w:val="en-US" w:eastAsia="zh-CN" w:bidi="ar"/>
        </w:rPr>
      </w:pPr>
      <w:r>
        <w:rPr>
          <w:rFonts w:hint="default" w:ascii="Times New Roman" w:hAnsi="Times New Roman" w:eastAsia="方正黑体_GBK" w:cs="Times New Roman"/>
          <w:b w:val="0"/>
          <w:bCs w:val="0"/>
          <w:i w:val="0"/>
          <w:iCs w:val="0"/>
          <w:caps w:val="0"/>
          <w:color w:val="000000"/>
          <w:spacing w:val="15"/>
          <w:kern w:val="0"/>
          <w:sz w:val="32"/>
          <w:szCs w:val="32"/>
          <w:lang w:val="en-US" w:eastAsia="zh-CN" w:bidi="ar"/>
        </w:rPr>
        <w:t>十一、支持合同研发机构（CRO）、合同外包生产机构（CMO）、合同定制研发生产机构（CDMO）发展</w:t>
      </w:r>
      <w:r>
        <w:rPr>
          <w:rFonts w:hint="default" w:ascii="Times New Roman" w:hAnsi="Times New Roman" w:eastAsia="方正仿宋_GBK" w:cs="Times New Roman"/>
          <w:b w:val="0"/>
          <w:bCs w:val="0"/>
          <w:i w:val="0"/>
          <w:iCs w:val="0"/>
          <w:caps w:val="0"/>
          <w:color w:val="000000"/>
          <w:spacing w:val="15"/>
          <w:kern w:val="0"/>
          <w:sz w:val="32"/>
          <w:szCs w:val="32"/>
          <w:lang w:val="en-US" w:eastAsia="zh-CN" w:bidi="ar"/>
        </w:rPr>
        <w:t>，建设药物筛选、药物合成、新药报批、第三方检测、产业中试及生产，MAH综合服务等专业技术服务平台，按照市级政策支持额度的5%，给予配套奖励。</w:t>
      </w:r>
      <w:r>
        <w:rPr>
          <w:rFonts w:hint="default" w:ascii="方正楷体_GBK" w:hAnsi="方正楷体_GBK" w:eastAsia="方正楷体_GBK" w:cs="方正楷体_GBK"/>
          <w:b w:val="0"/>
          <w:bCs w:val="0"/>
          <w:i w:val="0"/>
          <w:iCs w:val="0"/>
          <w:caps w:val="0"/>
          <w:color w:val="000000"/>
          <w:spacing w:val="15"/>
          <w:kern w:val="0"/>
          <w:sz w:val="32"/>
          <w:szCs w:val="32"/>
          <w:lang w:val="en-US" w:eastAsia="zh-CN" w:bidi="ar"/>
        </w:rPr>
        <w:t>（责任单位：科技局、工信局、投促局、财政局）</w:t>
      </w:r>
    </w:p>
    <w:p w14:paraId="5E940FA9">
      <w:pPr>
        <w:keepNext w:val="0"/>
        <w:keepLines w:val="0"/>
        <w:pageBreakBefore w:val="0"/>
        <w:widowControl w:val="0"/>
        <w:suppressLineNumbers w:val="0"/>
        <w:kinsoku/>
        <w:wordWrap/>
        <w:overflowPunct/>
        <w:topLinePunct w:val="0"/>
        <w:autoSpaceDE/>
        <w:autoSpaceDN/>
        <w:bidi w:val="0"/>
        <w:adjustRightInd/>
        <w:snapToGrid/>
        <w:spacing w:line="560" w:lineRule="exact"/>
        <w:ind w:firstLine="700" w:firstLineChars="200"/>
        <w:jc w:val="left"/>
        <w:textAlignment w:val="auto"/>
        <w:rPr>
          <w:rFonts w:hint="default" w:ascii="Times New Roman" w:hAnsi="Times New Roman" w:eastAsia="方正仿宋_GBK" w:cs="Times New Roman"/>
          <w:b w:val="0"/>
          <w:bCs w:val="0"/>
          <w:i w:val="0"/>
          <w:iCs w:val="0"/>
          <w:caps w:val="0"/>
          <w:color w:val="000000"/>
          <w:spacing w:val="15"/>
          <w:kern w:val="0"/>
          <w:sz w:val="32"/>
          <w:szCs w:val="32"/>
          <w:lang w:val="en-US" w:eastAsia="zh-CN" w:bidi="ar"/>
        </w:rPr>
      </w:pPr>
      <w:r>
        <w:rPr>
          <w:rFonts w:hint="default" w:ascii="Times New Roman" w:hAnsi="Times New Roman" w:eastAsia="方正黑体_GBK" w:cs="Times New Roman"/>
          <w:b w:val="0"/>
          <w:bCs w:val="0"/>
          <w:i w:val="0"/>
          <w:iCs w:val="0"/>
          <w:caps w:val="0"/>
          <w:color w:val="000000"/>
          <w:spacing w:val="15"/>
          <w:kern w:val="0"/>
          <w:sz w:val="32"/>
          <w:szCs w:val="32"/>
          <w:lang w:val="en-US" w:eastAsia="zh-CN" w:bidi="ar"/>
        </w:rPr>
        <w:t>十二、积极联系对接省市审评审批部门，为企业提供高质高效的靠前技术指导，提供专业审评审批服务。</w:t>
      </w:r>
      <w:r>
        <w:rPr>
          <w:rFonts w:hint="default" w:ascii="Times New Roman" w:hAnsi="Times New Roman" w:eastAsia="方正仿宋_GBK" w:cs="Times New Roman"/>
          <w:b w:val="0"/>
          <w:bCs w:val="0"/>
          <w:i w:val="0"/>
          <w:iCs w:val="0"/>
          <w:caps w:val="0"/>
          <w:color w:val="000000"/>
          <w:spacing w:val="15"/>
          <w:kern w:val="0"/>
          <w:sz w:val="32"/>
          <w:szCs w:val="32"/>
          <w:lang w:val="en-US" w:eastAsia="zh-CN" w:bidi="ar"/>
        </w:rPr>
        <w:t>努力为创新药和创新医疗器械开展精准协同服务，加快产品上市进程。</w:t>
      </w:r>
      <w:r>
        <w:rPr>
          <w:rFonts w:hint="default" w:ascii="方正楷体_GBK" w:hAnsi="方正楷体_GBK" w:eastAsia="方正楷体_GBK" w:cs="方正楷体_GBK"/>
          <w:b w:val="0"/>
          <w:bCs w:val="0"/>
          <w:i w:val="0"/>
          <w:iCs w:val="0"/>
          <w:caps w:val="0"/>
          <w:color w:val="000000"/>
          <w:spacing w:val="15"/>
          <w:kern w:val="0"/>
          <w:sz w:val="32"/>
          <w:szCs w:val="32"/>
          <w:lang w:val="en-US" w:eastAsia="zh-CN" w:bidi="ar"/>
        </w:rPr>
        <w:t>（责任单位：医药办、市场监管分局）</w:t>
      </w:r>
    </w:p>
    <w:p w14:paraId="497A93B7">
      <w:pPr>
        <w:keepNext w:val="0"/>
        <w:keepLines w:val="0"/>
        <w:pageBreakBefore w:val="0"/>
        <w:widowControl w:val="0"/>
        <w:suppressLineNumbers w:val="0"/>
        <w:kinsoku/>
        <w:wordWrap/>
        <w:overflowPunct/>
        <w:topLinePunct w:val="0"/>
        <w:autoSpaceDE/>
        <w:autoSpaceDN/>
        <w:bidi w:val="0"/>
        <w:adjustRightInd/>
        <w:snapToGrid/>
        <w:spacing w:line="560" w:lineRule="exact"/>
        <w:ind w:firstLine="700" w:firstLineChars="200"/>
        <w:jc w:val="left"/>
        <w:textAlignment w:val="auto"/>
        <w:rPr>
          <w:rFonts w:hint="default" w:ascii="Times New Roman" w:hAnsi="Times New Roman" w:eastAsia="方正仿宋_GBK" w:cs="Times New Roman"/>
          <w:b w:val="0"/>
          <w:bCs w:val="0"/>
          <w:i w:val="0"/>
          <w:iCs w:val="0"/>
          <w:caps w:val="0"/>
          <w:color w:val="000000"/>
          <w:spacing w:val="15"/>
          <w:kern w:val="0"/>
          <w:sz w:val="32"/>
          <w:szCs w:val="32"/>
          <w:lang w:val="en-US" w:eastAsia="zh-CN" w:bidi="ar"/>
        </w:rPr>
      </w:pPr>
      <w:r>
        <w:rPr>
          <w:rFonts w:hint="default" w:ascii="Times New Roman" w:hAnsi="Times New Roman" w:eastAsia="方正黑体_GBK" w:cs="Times New Roman"/>
          <w:b w:val="0"/>
          <w:bCs w:val="0"/>
          <w:i w:val="0"/>
          <w:iCs w:val="0"/>
          <w:caps w:val="0"/>
          <w:color w:val="000000"/>
          <w:spacing w:val="15"/>
          <w:kern w:val="0"/>
          <w:sz w:val="32"/>
          <w:szCs w:val="32"/>
          <w:lang w:val="en-US" w:eastAsia="zh-CN" w:bidi="ar"/>
        </w:rPr>
        <w:t>十三、支持医药健康产业相关单位，利用长春药品进口口岸，在申请科研、</w:t>
      </w:r>
      <w:r>
        <w:rPr>
          <w:rFonts w:hint="default" w:ascii="Times New Roman" w:hAnsi="Times New Roman" w:eastAsia="方正仿宋_GBK" w:cs="Times New Roman"/>
          <w:b w:val="0"/>
          <w:bCs w:val="0"/>
          <w:i w:val="0"/>
          <w:iCs w:val="0"/>
          <w:caps w:val="0"/>
          <w:color w:val="000000"/>
          <w:spacing w:val="15"/>
          <w:kern w:val="0"/>
          <w:sz w:val="32"/>
          <w:szCs w:val="32"/>
          <w:lang w:val="en-US" w:eastAsia="zh-CN" w:bidi="ar"/>
        </w:rPr>
        <w:t>临床研究或生产相关用品进口检验等事项时，给予向上协调和对接服务。</w:t>
      </w:r>
      <w:r>
        <w:rPr>
          <w:rFonts w:hint="default" w:ascii="方正楷体_GBK" w:hAnsi="方正楷体_GBK" w:eastAsia="方正楷体_GBK" w:cs="方正楷体_GBK"/>
          <w:b w:val="0"/>
          <w:bCs w:val="0"/>
          <w:i w:val="0"/>
          <w:iCs w:val="0"/>
          <w:caps w:val="0"/>
          <w:color w:val="000000"/>
          <w:spacing w:val="15"/>
          <w:kern w:val="0"/>
          <w:sz w:val="32"/>
          <w:szCs w:val="32"/>
          <w:lang w:val="en-US" w:eastAsia="zh-CN" w:bidi="ar"/>
        </w:rPr>
        <w:t>（责任单位：市场监管分局、医药办、科技局、工信局）</w:t>
      </w:r>
    </w:p>
    <w:p w14:paraId="0EBD69EC">
      <w:pPr>
        <w:keepNext w:val="0"/>
        <w:keepLines w:val="0"/>
        <w:pageBreakBefore w:val="0"/>
        <w:widowControl w:val="0"/>
        <w:suppressLineNumbers w:val="0"/>
        <w:kinsoku/>
        <w:wordWrap/>
        <w:overflowPunct/>
        <w:topLinePunct w:val="0"/>
        <w:autoSpaceDE/>
        <w:autoSpaceDN/>
        <w:bidi w:val="0"/>
        <w:adjustRightInd/>
        <w:snapToGrid/>
        <w:spacing w:line="560" w:lineRule="exact"/>
        <w:ind w:firstLine="700" w:firstLineChars="200"/>
        <w:jc w:val="left"/>
        <w:textAlignment w:val="auto"/>
        <w:rPr>
          <w:rFonts w:hint="default" w:ascii="Times New Roman" w:hAnsi="Times New Roman" w:eastAsia="方正仿宋_GBK" w:cs="Times New Roman"/>
          <w:b w:val="0"/>
          <w:bCs w:val="0"/>
          <w:i w:val="0"/>
          <w:iCs w:val="0"/>
          <w:caps w:val="0"/>
          <w:color w:val="000000"/>
          <w:spacing w:val="15"/>
          <w:kern w:val="0"/>
          <w:sz w:val="32"/>
          <w:szCs w:val="32"/>
          <w:lang w:val="en-US" w:eastAsia="zh-CN" w:bidi="ar"/>
        </w:rPr>
      </w:pPr>
      <w:r>
        <w:rPr>
          <w:rFonts w:hint="default" w:ascii="Times New Roman" w:hAnsi="Times New Roman" w:eastAsia="方正黑体_GBK" w:cs="Times New Roman"/>
          <w:b w:val="0"/>
          <w:bCs w:val="0"/>
          <w:i w:val="0"/>
          <w:iCs w:val="0"/>
          <w:caps w:val="0"/>
          <w:color w:val="000000"/>
          <w:spacing w:val="15"/>
          <w:kern w:val="0"/>
          <w:sz w:val="32"/>
          <w:szCs w:val="32"/>
          <w:lang w:val="en-US" w:eastAsia="zh-CN" w:bidi="ar"/>
        </w:rPr>
        <w:t>十四、鼓励药品上市许可持有人将持有的自主研发药品</w:t>
      </w:r>
      <w:r>
        <w:rPr>
          <w:rFonts w:hint="default" w:ascii="Times New Roman" w:hAnsi="Times New Roman" w:eastAsia="方正仿宋_GBK" w:cs="Times New Roman"/>
          <w:b w:val="0"/>
          <w:bCs w:val="0"/>
          <w:i w:val="0"/>
          <w:iCs w:val="0"/>
          <w:caps w:val="0"/>
          <w:color w:val="000000"/>
          <w:spacing w:val="15"/>
          <w:kern w:val="0"/>
          <w:sz w:val="32"/>
          <w:szCs w:val="32"/>
          <w:lang w:val="en-US" w:eastAsia="zh-CN" w:bidi="ar"/>
        </w:rPr>
        <w:t>，申请美国FDA或欧盟质量指导委员会（EDQM）药品注册许可证并进行生产。支持企业对自主研发的三类和二类医疗器械产品，申请美国FDA注册许可证、欧洲合格认证（CE）并进行生产。支持企业拓展国际市场、开展国际商务拓展（BD），鼓励GCP、GLP等公共服务平台国际标准化，鼓励企业加大创新药对外授权，在境外成立合资企业。</w:t>
      </w:r>
      <w:r>
        <w:rPr>
          <w:rFonts w:hint="default" w:ascii="方正楷体_GBK" w:hAnsi="方正楷体_GBK" w:eastAsia="方正楷体_GBK" w:cs="方正楷体_GBK"/>
          <w:b w:val="0"/>
          <w:bCs w:val="0"/>
          <w:i w:val="0"/>
          <w:iCs w:val="0"/>
          <w:caps w:val="0"/>
          <w:color w:val="000000"/>
          <w:spacing w:val="15"/>
          <w:kern w:val="0"/>
          <w:sz w:val="32"/>
          <w:szCs w:val="32"/>
          <w:lang w:val="en-US" w:eastAsia="zh-CN" w:bidi="ar"/>
        </w:rPr>
        <w:t>（责任单位：科技局、投促局）</w:t>
      </w:r>
    </w:p>
    <w:p w14:paraId="3BB86D4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sz w:val="32"/>
          <w:szCs w:val="32"/>
          <w:highlight w:val="yellow"/>
          <w:lang w:val="en-US" w:eastAsia="zh-CN"/>
        </w:rPr>
      </w:pPr>
      <w:r>
        <w:rPr>
          <w:rFonts w:hint="default" w:ascii="Times New Roman" w:hAnsi="Times New Roman" w:eastAsia="方正仿宋_GBK" w:cs="Times New Roman"/>
          <w:sz w:val="32"/>
          <w:szCs w:val="32"/>
          <w:lang w:val="en-US" w:eastAsia="zh-CN"/>
        </w:rPr>
        <w:t>以上措施自印发之日起试行，由相关责任部门负责制定具体实施细则，有效期至 2026年12月31日，有明确期限的具体政策按其时限执行，国家、省市另有规定的从其规定。</w:t>
      </w:r>
    </w:p>
    <w:p w14:paraId="20DDE163">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b w:val="0"/>
          <w:bCs w:val="0"/>
          <w:color w:val="auto"/>
          <w:kern w:val="0"/>
          <w:sz w:val="32"/>
          <w:szCs w:val="32"/>
          <w:lang w:val="en-US" w:eastAsia="zh-CN" w:bidi="ar"/>
        </w:rPr>
      </w:pPr>
    </w:p>
    <w:bookmarkEnd w:id="0"/>
    <w:sectPr>
      <w:footerReference r:id="rId3" w:type="default"/>
      <w:pgSz w:w="11906" w:h="16838"/>
      <w:pgMar w:top="2098" w:right="1474" w:bottom="1984" w:left="1587"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iberation Sans">
    <w:altName w:val="华光中圆_CNKI"/>
    <w:panose1 w:val="00000000000000000000"/>
    <w:charset w:val="00"/>
    <w:family w:val="swiss"/>
    <w:pitch w:val="default"/>
    <w:sig w:usb0="00000000" w:usb1="00000000" w:usb2="00000000" w:usb3="00000000" w:csb0="00040001" w:csb1="00000000"/>
  </w:font>
  <w:font w:name="Noto Sans CJK JP Bold">
    <w:altName w:val="宋体"/>
    <w:panose1 w:val="020B0800000000000000"/>
    <w:charset w:val="86"/>
    <w:family w:val="auto"/>
    <w:pitch w:val="default"/>
    <w:sig w:usb0="00000000" w:usb1="00000000" w:usb2="00000016" w:usb3="00000000" w:csb0="602E0107" w:csb1="00000000"/>
  </w:font>
  <w:font w:name="Noto Sans CJK SC Regular">
    <w:altName w:val="宋体"/>
    <w:panose1 w:val="020B0500000000000000"/>
    <w:charset w:val="86"/>
    <w:family w:val="auto"/>
    <w:pitch w:val="default"/>
    <w:sig w:usb0="00000000" w:usb1="00000000" w:usb2="00000016" w:usb3="00000000" w:csb0="602E0107" w:csb1="00000000"/>
  </w:font>
  <w:font w:name="方正小标宋_GBK">
    <w:panose1 w:val="03000509000000000000"/>
    <w:charset w:val="86"/>
    <w:family w:val="auto"/>
    <w:pitch w:val="default"/>
    <w:sig w:usb0="00000001" w:usb1="080E0000" w:usb2="00000000" w:usb3="00000000" w:csb0="00040000" w:csb1="00000000"/>
    <w:embedRegular r:id="rId1" w:fontKey="{B28650E7-94F7-46A0-AEAD-C04ACF7DDF6D}"/>
  </w:font>
  <w:font w:name="仿宋_GB2312">
    <w:altName w:val="仿宋"/>
    <w:panose1 w:val="02010609030101010101"/>
    <w:charset w:val="86"/>
    <w:family w:val="auto"/>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embedRegular r:id="rId2" w:fontKey="{8B6A82B0-AC35-425A-BD44-475073141863}"/>
  </w:font>
  <w:font w:name="方正黑体_GBK">
    <w:panose1 w:val="03000509000000000000"/>
    <w:charset w:val="86"/>
    <w:family w:val="auto"/>
    <w:pitch w:val="default"/>
    <w:sig w:usb0="00000001" w:usb1="080E0000" w:usb2="00000000" w:usb3="00000000" w:csb0="00040000" w:csb1="00000000"/>
    <w:embedRegular r:id="rId3" w:fontKey="{DD41D996-BE53-4C8A-AAF4-55C3D828F395}"/>
  </w:font>
  <w:font w:name="仿宋">
    <w:panose1 w:val="02010609060101010101"/>
    <w:charset w:val="86"/>
    <w:family w:val="auto"/>
    <w:pitch w:val="default"/>
    <w:sig w:usb0="800002BF" w:usb1="38CF7CFA" w:usb2="00000016" w:usb3="00000000" w:csb0="00040001" w:csb1="00000000"/>
  </w:font>
  <w:font w:name="华光中圆_CNKI">
    <w:panose1 w:val="02000500000000000000"/>
    <w:charset w:val="86"/>
    <w:family w:val="auto"/>
    <w:pitch w:val="default"/>
    <w:sig w:usb0="A00002BF" w:usb1="18CF7CFA" w:usb2="00000016" w:usb3="00000000" w:csb0="0004000F" w:csb1="00000000"/>
  </w:font>
  <w:font w:name="方正楷体_GBK">
    <w:panose1 w:val="03000509000000000000"/>
    <w:charset w:val="86"/>
    <w:family w:val="auto"/>
    <w:pitch w:val="default"/>
    <w:sig w:usb0="00000001" w:usb1="080E0000" w:usb2="00000000" w:usb3="00000000" w:csb0="00040000" w:csb1="00000000"/>
    <w:embedRegular r:id="rId4" w:fontKey="{6C749100-B684-4F09-98A4-50BD5D7B89A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F759D5">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15F27A76">
                          <w:pPr>
                            <w:pStyle w:val="4"/>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CziH4F5wEAAMcD&#10;AAAOAAAAAAAAAAEAIAAAAB4BAABkcnMvZTJvRG9jLnhtbFBLBQYAAAAABgAGAFkBAAB3BQAAAAA=&#10;">
              <v:fill on="f" focussize="0,0"/>
              <v:stroke on="f"/>
              <v:imagedata o:title=""/>
              <o:lock v:ext="edit" aspectratio="f"/>
              <v:textbox inset="0mm,0mm,0mm,0mm" style="mso-fit-shape-to-text:t;">
                <w:txbxContent>
                  <w:p w14:paraId="15F27A76">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displayBackgroundShape w:val="1"/>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
  <w:drawingGridVerticalSpacing w:val="1"/>
  <w:displayHorizontalDrawingGridEvery w:val="1"/>
  <w:displayVerticalDrawingGridEvery w:val="1"/>
  <w:doNotUseMarginsForDrawingGridOrigin w:val="1"/>
  <w:drawingGridHorizontalOrigin w:val="0"/>
  <w:drawingGridVerticalOrigin w:val="0"/>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3712F7"/>
    <w:rsid w:val="0405748B"/>
    <w:rsid w:val="05717137"/>
    <w:rsid w:val="06B84C89"/>
    <w:rsid w:val="08EC0C19"/>
    <w:rsid w:val="0A105B8B"/>
    <w:rsid w:val="0BCFE323"/>
    <w:rsid w:val="0C9F66CF"/>
    <w:rsid w:val="0CAE6912"/>
    <w:rsid w:val="1158509E"/>
    <w:rsid w:val="12061235"/>
    <w:rsid w:val="130C6140"/>
    <w:rsid w:val="19946E8F"/>
    <w:rsid w:val="1A9BDF20"/>
    <w:rsid w:val="1BA672AA"/>
    <w:rsid w:val="1BCF7045"/>
    <w:rsid w:val="1D37D384"/>
    <w:rsid w:val="1E57483D"/>
    <w:rsid w:val="24CC1BD3"/>
    <w:rsid w:val="272A0E33"/>
    <w:rsid w:val="277D5407"/>
    <w:rsid w:val="27983FEE"/>
    <w:rsid w:val="289522DC"/>
    <w:rsid w:val="28DB23E5"/>
    <w:rsid w:val="2AE412F9"/>
    <w:rsid w:val="2CBC2B4D"/>
    <w:rsid w:val="2D6F6C7F"/>
    <w:rsid w:val="2FFF939C"/>
    <w:rsid w:val="31413B7F"/>
    <w:rsid w:val="3251EC7B"/>
    <w:rsid w:val="341CDE3F"/>
    <w:rsid w:val="34DA1D12"/>
    <w:rsid w:val="35F75249"/>
    <w:rsid w:val="385C6972"/>
    <w:rsid w:val="38A24CCD"/>
    <w:rsid w:val="39F8ADF9"/>
    <w:rsid w:val="3A282FB0"/>
    <w:rsid w:val="3B4E14F1"/>
    <w:rsid w:val="3FB773A9"/>
    <w:rsid w:val="3FCFC3CD"/>
    <w:rsid w:val="3FF12353"/>
    <w:rsid w:val="3FF38779"/>
    <w:rsid w:val="3FFFA09A"/>
    <w:rsid w:val="42D44F28"/>
    <w:rsid w:val="432D6B64"/>
    <w:rsid w:val="45CA3DA7"/>
    <w:rsid w:val="46C85AFD"/>
    <w:rsid w:val="47FED687"/>
    <w:rsid w:val="4BC95CA2"/>
    <w:rsid w:val="4BE367D4"/>
    <w:rsid w:val="54454B6A"/>
    <w:rsid w:val="54F41FB5"/>
    <w:rsid w:val="56B4CCBF"/>
    <w:rsid w:val="598D0473"/>
    <w:rsid w:val="5B4377F2"/>
    <w:rsid w:val="5CD61798"/>
    <w:rsid w:val="5CF959A1"/>
    <w:rsid w:val="5E3873B6"/>
    <w:rsid w:val="5F3FAF9E"/>
    <w:rsid w:val="5FDB9F90"/>
    <w:rsid w:val="621A0C83"/>
    <w:rsid w:val="6388419E"/>
    <w:rsid w:val="647D1899"/>
    <w:rsid w:val="69B47B0D"/>
    <w:rsid w:val="6B6A5CF8"/>
    <w:rsid w:val="6DFEBF1B"/>
    <w:rsid w:val="6F3518C1"/>
    <w:rsid w:val="6FF3E5D9"/>
    <w:rsid w:val="72E17BC5"/>
    <w:rsid w:val="7AB2129A"/>
    <w:rsid w:val="7B2A71BA"/>
    <w:rsid w:val="7BEC3136"/>
    <w:rsid w:val="7D7533D4"/>
    <w:rsid w:val="7DDDECBC"/>
    <w:rsid w:val="7DFD99ED"/>
    <w:rsid w:val="7E6586DC"/>
    <w:rsid w:val="7EBE8C8F"/>
    <w:rsid w:val="7EF79363"/>
    <w:rsid w:val="7EFFE85D"/>
    <w:rsid w:val="7FFF304C"/>
    <w:rsid w:val="9DC705F2"/>
    <w:rsid w:val="9ECF7478"/>
    <w:rsid w:val="A4570280"/>
    <w:rsid w:val="AFBE0B05"/>
    <w:rsid w:val="B4DB8D58"/>
    <w:rsid w:val="B7FACEA5"/>
    <w:rsid w:val="BBEC8D38"/>
    <w:rsid w:val="BF86CF72"/>
    <w:rsid w:val="CDDF9696"/>
    <w:rsid w:val="D3FB0752"/>
    <w:rsid w:val="DF1B086E"/>
    <w:rsid w:val="DF9F1145"/>
    <w:rsid w:val="DFEC2F01"/>
    <w:rsid w:val="E46DDFF2"/>
    <w:rsid w:val="E9FF3129"/>
    <w:rsid w:val="EEF3F974"/>
    <w:rsid w:val="EF3B4771"/>
    <w:rsid w:val="F23F10F2"/>
    <w:rsid w:val="F3F5BDC2"/>
    <w:rsid w:val="F7FDCC48"/>
    <w:rsid w:val="FBF5415F"/>
    <w:rsid w:val="FCDE6575"/>
    <w:rsid w:val="FF2A001D"/>
    <w:rsid w:val="FF7FBE68"/>
    <w:rsid w:val="FFCF1B98"/>
    <w:rsid w:val="FFFBCDD7"/>
    <w:rsid w:val="FFFDCF82"/>
    <w:rsid w:val="FFFF54F0"/>
    <w:rsid w:val="FFFF8B4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caption"/>
    <w:basedOn w:val="1"/>
    <w:next w:val="1"/>
    <w:qFormat/>
    <w:uiPriority w:val="0"/>
    <w:pPr>
      <w:widowControl w:val="0"/>
      <w:suppressLineNumbers/>
      <w:suppressAutoHyphens/>
      <w:spacing w:before="120" w:after="120"/>
    </w:pPr>
    <w:rPr>
      <w:i/>
      <w:iCs/>
      <w:sz w:val="24"/>
      <w:szCs w:val="24"/>
    </w:rPr>
  </w:style>
  <w:style w:type="paragraph" w:styleId="3">
    <w:name w:val="Body Text"/>
    <w:basedOn w:val="1"/>
    <w:qFormat/>
    <w:uiPriority w:val="0"/>
    <w:pPr>
      <w:spacing w:before="0" w:after="140" w:line="276" w:lineRule="auto"/>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w:basedOn w:val="3"/>
    <w:qFormat/>
    <w:uiPriority w:val="0"/>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0">
    <w:name w:val="Strong"/>
    <w:basedOn w:val="9"/>
    <w:qFormat/>
    <w:uiPriority w:val="0"/>
    <w:rPr>
      <w:b/>
    </w:rPr>
  </w:style>
  <w:style w:type="character" w:customStyle="1" w:styleId="11">
    <w:name w:val="默认段落字体1"/>
    <w:qFormat/>
    <w:uiPriority w:val="0"/>
  </w:style>
  <w:style w:type="paragraph" w:customStyle="1" w:styleId="12">
    <w:name w:val="Heading"/>
    <w:basedOn w:val="1"/>
    <w:next w:val="3"/>
    <w:qFormat/>
    <w:uiPriority w:val="0"/>
    <w:pPr>
      <w:keepNext/>
      <w:widowControl w:val="0"/>
      <w:suppressAutoHyphens/>
      <w:spacing w:before="240" w:after="120"/>
    </w:pPr>
    <w:rPr>
      <w:rFonts w:ascii="Liberation Sans" w:hAnsi="Liberation Sans" w:eastAsia="Noto Sans CJK SC Regular" w:cs="Noto Sans CJK SC Regular"/>
      <w:sz w:val="28"/>
      <w:szCs w:val="28"/>
      <w:lang w:bidi="ar-SA"/>
    </w:rPr>
  </w:style>
  <w:style w:type="paragraph" w:customStyle="1" w:styleId="13">
    <w:name w:val="Index"/>
    <w:basedOn w:val="1"/>
    <w:qFormat/>
    <w:uiPriority w:val="0"/>
    <w:pPr>
      <w:widowControl w:val="0"/>
      <w:suppressLineNumbers/>
      <w:suppressAutoHyphens/>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2005</Words>
  <Characters>2042</Characters>
  <TotalTime>12</TotalTime>
  <ScaleCrop>false</ScaleCrop>
  <LinksUpToDate>false</LinksUpToDate>
  <CharactersWithSpaces>2043</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2018-11-29T17:47:00Z</dcterms:created>
  <dc:creator>c126</dc:creator>
  <cp:lastModifiedBy>牙满</cp:lastModifiedBy>
  <cp:lastPrinted>2025-01-08T00:31:00Z</cp:lastPrinted>
  <dcterms:modified xsi:type="dcterms:W3CDTF">2025-02-06T03:06:47Z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D33DE4B84BE44FA698097A561162513F_13</vt:lpwstr>
  </property>
  <property fmtid="{D5CDD505-2E9C-101B-9397-08002B2CF9AE}" pid="4" name="KSOTemplateDocerSaveRecord">
    <vt:lpwstr>eyJoZGlkIjoiMDgxNmM1ZGEwYzlkYzU1NThiYTI2MDdhMTVlN2FhMGYiLCJ1c2VySWQiOiIzMzc1NDc3NjUifQ==</vt:lpwstr>
  </property>
</Properties>
</file>